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7</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רשמת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גלי רון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p w:rsidR="00A826E2" w:rsidRDefault="00072BE4">
            <w:pPr>
              <w:bidi w:val="0"/>
              <w:jc w:val="right"/>
              <w:rPr>
                <w:rFonts w:ascii="Arial" w:hAnsi="Arial"/>
                <w:b/>
                <w:bCs/>
                <w:noProof w:val="0"/>
                <w:sz w:val="26"/>
                <w:szCs w:val="26"/>
                <w:rtl/>
              </w:rPr>
            </w:pPr>
            <w:r>
              <w:rPr>
                <w:rFonts w:ascii="Arial" w:hAnsi="Arial" w:hint="cs"/>
                <w:b/>
                <w:bCs/>
                <w:noProof w:val="0"/>
                <w:sz w:val="26"/>
                <w:szCs w:val="26"/>
                <w:rtl/>
              </w:rPr>
              <w:t>המבקשות:</w:t>
            </w:r>
          </w:p>
        </w:tc>
        <w:tc>
          <w:tcPr>
            <w:tcW w:w="5571" w:type="dxa"/>
            <w:gridSpan w:val="2"/>
          </w:tcPr>
          <w:p w:rsidR="002914D6" w:rsidRDefault="002914D6">
            <w:pPr>
              <w:rPr>
                <w:rFonts w:ascii="Arial" w:hAnsi="Arial"/>
                <w:b/>
                <w:bCs/>
                <w:noProof w:val="0"/>
                <w:sz w:val="26"/>
                <w:szCs w:val="26"/>
              </w:rPr>
            </w:pPr>
          </w:p>
          <w:p w:rsidR="00307EEE" w:rsidRDefault="00094813" w:rsidP="00307EEE">
            <w:pPr>
              <w:rPr>
                <w:rFonts w:ascii="Arial" w:hAnsi="Arial"/>
                <w:b/>
                <w:bCs/>
                <w:noProof w:val="0"/>
                <w:sz w:val="26"/>
                <w:szCs w:val="26"/>
                <w:rtl/>
              </w:rPr>
            </w:pPr>
            <w:r>
              <w:rPr>
                <w:rFonts w:ascii="Arial" w:hAnsi="Arial"/>
                <w:b/>
                <w:bCs/>
                <w:noProof w:val="0"/>
                <w:sz w:val="26"/>
                <w:szCs w:val="26"/>
                <w:rtl/>
              </w:rPr>
              <w:t>1</w:t>
            </w:r>
            <w:r w:rsidR="00011212">
              <w:rPr>
                <w:b/>
                <w:bCs/>
                <w:noProof w:val="0"/>
                <w:sz w:val="26"/>
                <w:szCs w:val="26"/>
                <w:rtl/>
              </w:rPr>
              <w:t xml:space="preserve">. </w:t>
            </w:r>
            <w:r>
              <w:rPr>
                <w:rFonts w:ascii="Arial" w:hAnsi="Arial"/>
                <w:b/>
                <w:bCs/>
                <w:noProof w:val="0"/>
                <w:sz w:val="26"/>
                <w:szCs w:val="26"/>
                <w:rtl/>
              </w:rPr>
              <w:t>ר</w:t>
            </w:r>
            <w:r w:rsidR="00307EEE">
              <w:rPr>
                <w:rFonts w:ascii="Arial" w:hAnsi="Arial" w:hint="cs"/>
                <w:b/>
                <w:bCs/>
                <w:noProof w:val="0"/>
                <w:sz w:val="26"/>
                <w:szCs w:val="26"/>
                <w:rtl/>
              </w:rPr>
              <w:t xml:space="preserve">. </w:t>
            </w:r>
            <w:r>
              <w:rPr>
                <w:rFonts w:ascii="Arial" w:hAnsi="Arial"/>
                <w:b/>
                <w:bCs/>
                <w:noProof w:val="0"/>
                <w:sz w:val="26"/>
                <w:szCs w:val="26"/>
                <w:rtl/>
              </w:rPr>
              <w:t>ל</w:t>
            </w:r>
            <w:r w:rsidR="00307EEE">
              <w:rPr>
                <w:rFonts w:ascii="Arial" w:hAnsi="Arial" w:hint="cs"/>
                <w:b/>
                <w:bCs/>
                <w:noProof w:val="0"/>
                <w:sz w:val="26"/>
                <w:szCs w:val="26"/>
                <w:rtl/>
              </w:rPr>
              <w:t xml:space="preserve">. </w:t>
            </w:r>
            <w:r>
              <w:rPr>
                <w:rFonts w:ascii="Arial" w:hAnsi="Arial"/>
                <w:b/>
                <w:bCs/>
                <w:noProof w:val="0"/>
                <w:sz w:val="26"/>
                <w:szCs w:val="26"/>
                <w:rtl/>
              </w:rPr>
              <w:t>ח</w:t>
            </w:r>
            <w:r w:rsidR="00307EEE">
              <w:rPr>
                <w:rFonts w:ascii="Arial" w:hAnsi="Arial" w:hint="cs"/>
                <w:b/>
                <w:bCs/>
                <w:noProof w:val="0"/>
                <w:sz w:val="26"/>
                <w:szCs w:val="26"/>
                <w:rtl/>
              </w:rPr>
              <w:t>.</w:t>
            </w:r>
          </w:p>
          <w:p w:rsidR="002914D6" w:rsidRDefault="00094813" w:rsidP="00307EEE">
            <w:pPr>
              <w:rPr>
                <w:b/>
                <w:bCs/>
                <w:noProof w:val="0"/>
                <w:sz w:val="26"/>
                <w:szCs w:val="26"/>
              </w:rPr>
            </w:pPr>
            <w:r>
              <w:rPr>
                <w:rFonts w:ascii="Arial" w:hAnsi="Arial"/>
                <w:b/>
                <w:bCs/>
                <w:noProof w:val="0"/>
                <w:sz w:val="26"/>
                <w:szCs w:val="26"/>
                <w:rtl/>
              </w:rPr>
              <w:t>2</w:t>
            </w:r>
            <w:r w:rsidR="00011212">
              <w:rPr>
                <w:b/>
                <w:bCs/>
                <w:noProof w:val="0"/>
                <w:sz w:val="26"/>
                <w:szCs w:val="26"/>
                <w:rtl/>
              </w:rPr>
              <w:t xml:space="preserve">. </w:t>
            </w:r>
            <w:r>
              <w:rPr>
                <w:rFonts w:ascii="Arial" w:hAnsi="Arial"/>
                <w:b/>
                <w:bCs/>
                <w:noProof w:val="0"/>
                <w:sz w:val="26"/>
                <w:szCs w:val="26"/>
                <w:rtl/>
              </w:rPr>
              <w:t>ק</w:t>
            </w:r>
            <w:r w:rsidR="00307EEE">
              <w:rPr>
                <w:rFonts w:ascii="Arial" w:hAnsi="Arial" w:hint="cs"/>
                <w:b/>
                <w:bCs/>
                <w:noProof w:val="0"/>
                <w:sz w:val="26"/>
                <w:szCs w:val="26"/>
                <w:rtl/>
              </w:rPr>
              <w:t xml:space="preserve">. ל. ח. </w:t>
            </w:r>
          </w:p>
        </w:tc>
      </w:tr>
      <w:tr w:rsidR="002914D6">
        <w:trPr>
          <w:jc w:val="center"/>
        </w:trPr>
        <w:tc>
          <w:tcPr>
            <w:tcW w:w="8820" w:type="dxa"/>
            <w:gridSpan w:val="4"/>
          </w:tcPr>
          <w:p w:rsidR="002914D6" w:rsidRDefault="002914D6">
            <w:pPr>
              <w:rPr>
                <w:rFonts w:ascii="Arial" w:hAnsi="Arial"/>
                <w:b/>
                <w:bCs/>
                <w:noProof w:val="0"/>
                <w:sz w:val="26"/>
                <w:szCs w:val="26"/>
                <w:rtl/>
              </w:rPr>
            </w:pPr>
          </w:p>
          <w:p w:rsidR="0048690F" w:rsidRPr="0048690F" w:rsidRDefault="0048690F">
            <w:pPr>
              <w:rPr>
                <w:rFonts w:ascii="Arial" w:hAnsi="Arial"/>
                <w:b/>
                <w:bCs/>
                <w:noProof w:val="0"/>
                <w:color w:val="404040" w:themeColor="text1" w:themeTint="BF"/>
                <w:sz w:val="26"/>
                <w:szCs w:val="26"/>
                <w:rtl/>
              </w:rPr>
            </w:pPr>
            <w:r>
              <w:rPr>
                <w:rFonts w:ascii="Arial" w:hAnsi="Arial" w:hint="cs"/>
                <w:b/>
                <w:bCs/>
                <w:noProof w:val="0"/>
                <w:sz w:val="26"/>
                <w:szCs w:val="26"/>
                <w:rtl/>
              </w:rPr>
              <w:t xml:space="preserve">                                                         </w:t>
            </w:r>
            <w:r w:rsidRPr="0048690F">
              <w:rPr>
                <w:rFonts w:ascii="Arial" w:hAnsi="Arial" w:hint="cs"/>
                <w:b/>
                <w:bCs/>
                <w:noProof w:val="0"/>
                <w:color w:val="404040" w:themeColor="text1" w:themeTint="BF"/>
                <w:sz w:val="26"/>
                <w:szCs w:val="26"/>
                <w:rtl/>
              </w:rPr>
              <w:t>באמצעות ב"כ עו"ד אשר פרץ</w:t>
            </w:r>
          </w:p>
          <w:p w:rsidR="0048690F" w:rsidRDefault="0048690F">
            <w:pPr>
              <w:rPr>
                <w:rFonts w:ascii="Arial" w:hAnsi="Arial"/>
                <w:b/>
                <w:bCs/>
                <w:noProof w:val="0"/>
                <w:sz w:val="26"/>
                <w:szCs w:val="26"/>
                <w:rtl/>
              </w:rPr>
            </w:pPr>
          </w:p>
          <w:p w:rsidR="002914D6" w:rsidRDefault="00307EEE" w:rsidP="00307EEE">
            <w:pPr>
              <w:rPr>
                <w:rFonts w:ascii="Arial" w:hAnsi="Arial"/>
                <w:b/>
                <w:bCs/>
                <w:noProof w:val="0"/>
                <w:sz w:val="26"/>
                <w:szCs w:val="26"/>
                <w:rtl/>
              </w:rPr>
            </w:pPr>
            <w:r>
              <w:rPr>
                <w:rFonts w:ascii="Arial" w:hAnsi="Arial" w:hint="cs"/>
                <w:b/>
                <w:bCs/>
                <w:noProof w:val="0"/>
                <w:sz w:val="26"/>
                <w:szCs w:val="26"/>
                <w:rtl/>
              </w:rPr>
              <w:t xml:space="preserve">                                                                   </w:t>
            </w:r>
            <w:r w:rsidR="00011212">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072BE4">
            <w:pPr>
              <w:rPr>
                <w:rFonts w:ascii="Arial" w:hAnsi="Arial"/>
                <w:b/>
                <w:bCs/>
                <w:noProof w:val="0"/>
                <w:sz w:val="26"/>
                <w:szCs w:val="26"/>
              </w:rPr>
            </w:pPr>
            <w:r>
              <w:rPr>
                <w:rFonts w:ascii="Arial" w:hAnsi="Arial" w:hint="cs"/>
                <w:b/>
                <w:bCs/>
                <w:noProof w:val="0"/>
                <w:sz w:val="26"/>
                <w:szCs w:val="26"/>
                <w:rtl/>
              </w:rPr>
              <w:t>המשיבות:</w:t>
            </w:r>
          </w:p>
        </w:tc>
        <w:tc>
          <w:tcPr>
            <w:tcW w:w="5571" w:type="dxa"/>
            <w:gridSpan w:val="2"/>
          </w:tcPr>
          <w:p w:rsidR="002914D6" w:rsidRDefault="002914D6">
            <w:pPr>
              <w:rPr>
                <w:rFonts w:ascii="Arial" w:hAnsi="Arial"/>
                <w:b/>
                <w:bCs/>
                <w:noProof w:val="0"/>
                <w:sz w:val="26"/>
                <w:szCs w:val="26"/>
                <w:rtl/>
              </w:rPr>
            </w:pPr>
          </w:p>
          <w:p w:rsidR="00307EEE" w:rsidRDefault="00094813" w:rsidP="00307EEE">
            <w:pPr>
              <w:rPr>
                <w:rFonts w:ascii="Arial" w:hAnsi="Arial"/>
                <w:b/>
                <w:bCs/>
                <w:noProof w:val="0"/>
                <w:sz w:val="26"/>
                <w:szCs w:val="26"/>
              </w:rPr>
            </w:pPr>
            <w:r>
              <w:rPr>
                <w:rFonts w:ascii="Arial" w:hAnsi="Arial"/>
                <w:b/>
                <w:bCs/>
                <w:noProof w:val="0"/>
                <w:sz w:val="26"/>
                <w:szCs w:val="26"/>
                <w:rtl/>
              </w:rPr>
              <w:t>1</w:t>
            </w:r>
            <w:r w:rsidR="00011212">
              <w:rPr>
                <w:rFonts w:ascii="Arial" w:hAnsi="Arial"/>
                <w:b/>
                <w:bCs/>
                <w:noProof w:val="0"/>
                <w:sz w:val="26"/>
                <w:szCs w:val="26"/>
                <w:rtl/>
              </w:rPr>
              <w:t xml:space="preserve">. </w:t>
            </w:r>
            <w:r>
              <w:rPr>
                <w:rFonts w:ascii="Arial" w:hAnsi="Arial"/>
                <w:b/>
                <w:bCs/>
                <w:noProof w:val="0"/>
                <w:sz w:val="26"/>
                <w:szCs w:val="26"/>
                <w:rtl/>
              </w:rPr>
              <w:t>ר</w:t>
            </w:r>
            <w:r w:rsidR="00307EEE">
              <w:rPr>
                <w:rFonts w:ascii="Arial" w:hAnsi="Arial" w:hint="cs"/>
                <w:b/>
                <w:bCs/>
                <w:noProof w:val="0"/>
                <w:sz w:val="26"/>
                <w:szCs w:val="26"/>
                <w:rtl/>
              </w:rPr>
              <w:t>. ב.</w:t>
            </w:r>
          </w:p>
          <w:p w:rsidR="00307EEE" w:rsidRDefault="00307EEE" w:rsidP="00307EEE">
            <w:pPr>
              <w:rPr>
                <w:rFonts w:ascii="Arial" w:hAnsi="Arial"/>
                <w:b/>
                <w:bCs/>
                <w:noProof w:val="0"/>
                <w:sz w:val="26"/>
                <w:szCs w:val="26"/>
                <w:rtl/>
              </w:rPr>
            </w:pPr>
            <w:r>
              <w:rPr>
                <w:rFonts w:ascii="Arial" w:hAnsi="Arial" w:hint="cs"/>
                <w:b/>
                <w:bCs/>
                <w:noProof w:val="0"/>
                <w:sz w:val="26"/>
                <w:szCs w:val="26"/>
                <w:rtl/>
              </w:rPr>
              <w:t>2</w:t>
            </w:r>
            <w:r w:rsidR="00011212">
              <w:rPr>
                <w:rFonts w:ascii="Arial" w:hAnsi="Arial"/>
                <w:b/>
                <w:bCs/>
                <w:noProof w:val="0"/>
                <w:sz w:val="26"/>
                <w:szCs w:val="26"/>
                <w:rtl/>
              </w:rPr>
              <w:t xml:space="preserve">. </w:t>
            </w:r>
            <w:r w:rsidR="00094813">
              <w:rPr>
                <w:rFonts w:ascii="Arial" w:hAnsi="Arial"/>
                <w:b/>
                <w:bCs/>
                <w:noProof w:val="0"/>
                <w:sz w:val="26"/>
                <w:szCs w:val="26"/>
                <w:rtl/>
              </w:rPr>
              <w:t>א</w:t>
            </w:r>
            <w:r>
              <w:rPr>
                <w:rFonts w:ascii="Arial" w:hAnsi="Arial" w:hint="cs"/>
                <w:b/>
                <w:bCs/>
                <w:noProof w:val="0"/>
                <w:sz w:val="26"/>
                <w:szCs w:val="26"/>
                <w:rtl/>
              </w:rPr>
              <w:t xml:space="preserve">. ח. </w:t>
            </w:r>
          </w:p>
          <w:p w:rsidR="002914D6" w:rsidRDefault="00094813" w:rsidP="00307EEE">
            <w:pPr>
              <w:rPr>
                <w:b/>
                <w:bCs/>
                <w:noProof w:val="0"/>
                <w:sz w:val="26"/>
                <w:szCs w:val="26"/>
                <w:rtl/>
              </w:rPr>
            </w:pPr>
            <w:r>
              <w:rPr>
                <w:rFonts w:ascii="Arial" w:hAnsi="Arial"/>
                <w:b/>
                <w:bCs/>
                <w:noProof w:val="0"/>
                <w:sz w:val="26"/>
                <w:szCs w:val="26"/>
                <w:rtl/>
              </w:rPr>
              <w:t>3</w:t>
            </w:r>
            <w:r w:rsidR="00011212">
              <w:rPr>
                <w:rFonts w:ascii="Arial" w:hAnsi="Arial"/>
                <w:b/>
                <w:bCs/>
                <w:noProof w:val="0"/>
                <w:sz w:val="26"/>
                <w:szCs w:val="26"/>
                <w:rtl/>
              </w:rPr>
              <w:t xml:space="preserve">. </w:t>
            </w:r>
            <w:r>
              <w:rPr>
                <w:rFonts w:ascii="Arial" w:hAnsi="Arial"/>
                <w:b/>
                <w:bCs/>
                <w:noProof w:val="0"/>
                <w:sz w:val="26"/>
                <w:szCs w:val="26"/>
                <w:rtl/>
              </w:rPr>
              <w:t>י</w:t>
            </w:r>
            <w:r w:rsidR="00307EEE">
              <w:rPr>
                <w:rFonts w:ascii="Arial" w:hAnsi="Arial" w:hint="cs"/>
                <w:b/>
                <w:bCs/>
                <w:noProof w:val="0"/>
                <w:sz w:val="26"/>
                <w:szCs w:val="26"/>
                <w:rtl/>
              </w:rPr>
              <w:t xml:space="preserve">. ח. </w:t>
            </w:r>
          </w:p>
          <w:p w:rsidR="002914D6" w:rsidRDefault="00094813" w:rsidP="00307EEE">
            <w:pPr>
              <w:rPr>
                <w:b/>
                <w:bCs/>
                <w:noProof w:val="0"/>
                <w:sz w:val="26"/>
                <w:szCs w:val="26"/>
                <w:rtl/>
              </w:rPr>
            </w:pPr>
            <w:r>
              <w:rPr>
                <w:rFonts w:ascii="Arial" w:hAnsi="Arial"/>
                <w:b/>
                <w:bCs/>
                <w:noProof w:val="0"/>
                <w:sz w:val="26"/>
                <w:szCs w:val="26"/>
                <w:rtl/>
              </w:rPr>
              <w:t>4</w:t>
            </w:r>
            <w:r w:rsidR="00011212">
              <w:rPr>
                <w:rFonts w:ascii="Arial" w:hAnsi="Arial"/>
                <w:b/>
                <w:bCs/>
                <w:noProof w:val="0"/>
                <w:sz w:val="26"/>
                <w:szCs w:val="26"/>
                <w:rtl/>
              </w:rPr>
              <w:t xml:space="preserve">. </w:t>
            </w:r>
            <w:r w:rsidR="00307EEE">
              <w:rPr>
                <w:rFonts w:ascii="Arial" w:hAnsi="Arial" w:hint="cs"/>
                <w:b/>
                <w:bCs/>
                <w:noProof w:val="0"/>
                <w:sz w:val="26"/>
                <w:szCs w:val="26"/>
                <w:rtl/>
              </w:rPr>
              <w:t xml:space="preserve">ו.א. </w:t>
            </w:r>
          </w:p>
          <w:p w:rsidR="002914D6" w:rsidRDefault="002914D6">
            <w:pPr>
              <w:rPr>
                <w:b/>
                <w:bCs/>
                <w:noProof w:val="0"/>
                <w:sz w:val="26"/>
                <w:szCs w:val="26"/>
                <w:rtl/>
              </w:rPr>
            </w:pPr>
          </w:p>
          <w:p w:rsidR="0048690F" w:rsidRDefault="0048690F">
            <w:pPr>
              <w:rPr>
                <w:b/>
                <w:bCs/>
                <w:noProof w:val="0"/>
                <w:sz w:val="26"/>
                <w:szCs w:val="26"/>
                <w:rtl/>
              </w:rPr>
            </w:pPr>
            <w:r w:rsidRPr="0048690F">
              <w:rPr>
                <w:rFonts w:hint="cs"/>
                <w:b/>
                <w:bCs/>
                <w:noProof w:val="0"/>
                <w:color w:val="404040" w:themeColor="text1" w:themeTint="BF"/>
                <w:sz w:val="26"/>
                <w:szCs w:val="26"/>
                <w:rtl/>
              </w:rPr>
              <w:t>באמצעות ב"כ עו"ד רועי קורץ</w:t>
            </w:r>
          </w:p>
        </w:tc>
      </w:tr>
    </w:tbl>
    <w:p w:rsidR="002914D6" w:rsidRDefault="002914D6">
      <w:pPr>
        <w:rPr>
          <w:rtl/>
        </w:rPr>
      </w:pPr>
    </w:p>
    <w:p w:rsidR="0048690F" w:rsidRDefault="0048690F"/>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072BE4" w:rsidRDefault="00072BE4" w:rsidP="00072BE4">
      <w:pPr>
        <w:spacing w:line="360" w:lineRule="auto"/>
        <w:ind w:left="720" w:hanging="720"/>
        <w:jc w:val="both"/>
        <w:rPr>
          <w:rFonts w:ascii="Arial" w:hAnsi="Arial"/>
        </w:rPr>
      </w:pPr>
      <w:r>
        <w:rPr>
          <w:rFonts w:ascii="Arial" w:hAnsi="Arial"/>
          <w:rtl/>
        </w:rPr>
        <w:t>1.</w:t>
      </w:r>
      <w:r>
        <w:rPr>
          <w:rFonts w:ascii="Arial" w:hAnsi="Arial"/>
          <w:rtl/>
        </w:rPr>
        <w:tab/>
        <w:t xml:space="preserve">החלטה זו עניינה בקשת המבקשות לעיון מחדש בצו העיקול הזמני שניתן, על פי בקשתן, ולהמרתו לצו עיקול על נכסי מקרקעין. </w:t>
      </w:r>
      <w:r>
        <w:rPr>
          <w:rFonts w:ascii="David" w:hAnsi="David"/>
          <w:b/>
          <w:bCs/>
          <w:rtl/>
        </w:rPr>
        <w:t xml:space="preserve">ההחלטה ניתנת בהתאם להוראות תקנות סדר הדין האזרחי (תיקון) (תיקון), התשפ"א-2020, שפורסמו ביום 27.12.2020, המאריכות את סמכות הרשמים לתת החלטות בהתאם לתקנות סדר הדין האזרחי, תשמ"ד-1984 </w:t>
      </w:r>
      <w:r>
        <w:rPr>
          <w:rFonts w:ascii="David" w:hAnsi="David"/>
          <w:rtl/>
        </w:rPr>
        <w:t>(להלן: "תקנות תשמ"ד").</w:t>
      </w:r>
    </w:p>
    <w:p w:rsidR="00072BE4" w:rsidRDefault="00072BE4" w:rsidP="00072BE4">
      <w:pPr>
        <w:spacing w:line="360" w:lineRule="auto"/>
        <w:jc w:val="both"/>
        <w:rPr>
          <w:rFonts w:ascii="Arial" w:hAnsi="Arial"/>
        </w:rPr>
      </w:pPr>
    </w:p>
    <w:p w:rsidR="00072BE4" w:rsidRDefault="00072BE4" w:rsidP="00307EEE">
      <w:pPr>
        <w:spacing w:line="360" w:lineRule="auto"/>
        <w:ind w:left="651" w:hanging="651"/>
        <w:jc w:val="both"/>
        <w:rPr>
          <w:rFonts w:ascii="David" w:hAnsi="David"/>
          <w:rtl/>
        </w:rPr>
      </w:pPr>
      <w:r>
        <w:rPr>
          <w:rFonts w:ascii="Arial" w:hAnsi="Arial"/>
          <w:rtl/>
        </w:rPr>
        <w:t>2.</w:t>
      </w:r>
      <w:r>
        <w:rPr>
          <w:rFonts w:ascii="Arial" w:hAnsi="Arial"/>
          <w:rtl/>
        </w:rPr>
        <w:tab/>
      </w:r>
      <w:r>
        <w:rPr>
          <w:rFonts w:ascii="David" w:hAnsi="David"/>
          <w:rtl/>
        </w:rPr>
        <w:t xml:space="preserve">המבקשת 1 הייתה בת זוגו של המנוח </w:t>
      </w:r>
      <w:r w:rsidR="00307EEE">
        <w:rPr>
          <w:rFonts w:ascii="David" w:hAnsi="David" w:hint="cs"/>
          <w:rtl/>
        </w:rPr>
        <w:t xml:space="preserve">ס.ל.ח. </w:t>
      </w:r>
      <w:r>
        <w:rPr>
          <w:rFonts w:ascii="David" w:hAnsi="David"/>
          <w:rtl/>
        </w:rPr>
        <w:t>ז"ל (להלן: "המנוח") עד למועד פטירתו. המבקשת 2 היא בתם של המבקשת 1 והמנוח. המשיבות 1-4 הן בנותיו של המנוח מנישואיו הראשונים.</w:t>
      </w:r>
    </w:p>
    <w:p w:rsidR="00072BE4" w:rsidRDefault="00072BE4" w:rsidP="00072BE4">
      <w:pPr>
        <w:spacing w:line="360" w:lineRule="auto"/>
        <w:ind w:left="651" w:hanging="651"/>
        <w:jc w:val="both"/>
        <w:rPr>
          <w:rFonts w:ascii="David" w:hAnsi="David"/>
          <w:rtl/>
        </w:rPr>
      </w:pPr>
    </w:p>
    <w:p w:rsidR="00072BE4" w:rsidRDefault="00072BE4" w:rsidP="00072BE4">
      <w:pPr>
        <w:spacing w:line="360" w:lineRule="auto"/>
        <w:ind w:left="651" w:hanging="651"/>
        <w:jc w:val="both"/>
        <w:rPr>
          <w:rFonts w:ascii="David" w:hAnsi="David"/>
          <w:rtl/>
        </w:rPr>
      </w:pPr>
      <w:r>
        <w:rPr>
          <w:rFonts w:ascii="David" w:hAnsi="David"/>
          <w:rtl/>
        </w:rPr>
        <w:t>3.</w:t>
      </w:r>
      <w:r>
        <w:rPr>
          <w:rFonts w:ascii="David" w:hAnsi="David"/>
          <w:rtl/>
        </w:rPr>
        <w:tab/>
        <w:t xml:space="preserve">המנוח נפטר ביום 15.12.2021. ביום 7.6.2022 ניתן צו לקיום צוואת המנוח מיום 1.6.2017, שבה ציווה המנוח נכסים וזכויות מעיזבונו הן למבקשות והן למשיבות. </w:t>
      </w:r>
    </w:p>
    <w:p w:rsidR="00072BE4" w:rsidRDefault="00072BE4" w:rsidP="00072BE4">
      <w:pPr>
        <w:spacing w:line="360" w:lineRule="auto"/>
        <w:ind w:left="651" w:hanging="651"/>
        <w:jc w:val="both"/>
        <w:rPr>
          <w:rFonts w:ascii="David" w:hAnsi="David"/>
          <w:rtl/>
        </w:rPr>
      </w:pPr>
    </w:p>
    <w:p w:rsidR="00072BE4" w:rsidRDefault="00072BE4" w:rsidP="00307EEE">
      <w:pPr>
        <w:spacing w:line="360" w:lineRule="auto"/>
        <w:ind w:left="651" w:hanging="651"/>
        <w:jc w:val="both"/>
        <w:rPr>
          <w:rFonts w:ascii="David" w:hAnsi="David"/>
          <w:rtl/>
        </w:rPr>
      </w:pPr>
      <w:r>
        <w:rPr>
          <w:rFonts w:ascii="David" w:hAnsi="David"/>
          <w:rtl/>
        </w:rPr>
        <w:t>4.</w:t>
      </w:r>
      <w:r>
        <w:rPr>
          <w:rFonts w:ascii="David" w:hAnsi="David"/>
          <w:rtl/>
        </w:rPr>
        <w:tab/>
        <w:t xml:space="preserve">ביום 18.10.2022 הגישו המבקשות תביעה בעניין היקף עיזבון המנוח ומתן צו עשה להשבת כספים שנמשכו מחשבון המנוח בבנק </w:t>
      </w:r>
      <w:r w:rsidR="00307EEE">
        <w:rPr>
          <w:rFonts w:ascii="David" w:hAnsi="David" w:hint="cs"/>
        </w:rPr>
        <w:t>X</w:t>
      </w:r>
      <w:r>
        <w:rPr>
          <w:rFonts w:ascii="David" w:hAnsi="David"/>
          <w:rtl/>
        </w:rPr>
        <w:t xml:space="preserve"> (להלן: "חשבון הבנק") וביום 16.11.2022 הגישו בקשה למתן צו עיקול זמני על חשבון הבנק של המנוח. </w:t>
      </w:r>
    </w:p>
    <w:p w:rsidR="00072BE4" w:rsidRDefault="00072BE4" w:rsidP="00072BE4">
      <w:pPr>
        <w:spacing w:line="360" w:lineRule="auto"/>
        <w:ind w:left="651" w:hanging="651"/>
        <w:jc w:val="both"/>
        <w:rPr>
          <w:rFonts w:ascii="David" w:hAnsi="David"/>
          <w:rtl/>
        </w:rPr>
      </w:pPr>
    </w:p>
    <w:p w:rsidR="00072BE4" w:rsidRDefault="00072BE4" w:rsidP="00072BE4">
      <w:pPr>
        <w:spacing w:line="360" w:lineRule="auto"/>
        <w:ind w:left="651" w:hanging="651"/>
        <w:jc w:val="both"/>
        <w:rPr>
          <w:rFonts w:ascii="David" w:hAnsi="David"/>
          <w:rtl/>
        </w:rPr>
      </w:pPr>
      <w:r>
        <w:rPr>
          <w:rFonts w:ascii="David" w:hAnsi="David"/>
          <w:rtl/>
        </w:rPr>
        <w:lastRenderedPageBreak/>
        <w:t>5.</w:t>
      </w:r>
      <w:r>
        <w:rPr>
          <w:rFonts w:ascii="David" w:hAnsi="David"/>
          <w:rtl/>
        </w:rPr>
        <w:tab/>
        <w:t>ביום 16.11.2022 ניתנה החלטה המורה על מתן צו עיקול זמני ברישום על הזכויות הרשומות ע"ש המנוח בחשבון הבנק, וזאת עד לסך של 753,479 ₪.</w:t>
      </w:r>
    </w:p>
    <w:p w:rsidR="00072BE4" w:rsidRDefault="00072BE4" w:rsidP="00072BE4">
      <w:pPr>
        <w:spacing w:line="360" w:lineRule="auto"/>
        <w:ind w:left="651" w:hanging="651"/>
        <w:jc w:val="both"/>
        <w:rPr>
          <w:rFonts w:ascii="David" w:hAnsi="David"/>
          <w:rtl/>
        </w:rPr>
      </w:pPr>
    </w:p>
    <w:p w:rsidR="00072BE4" w:rsidRDefault="00072BE4" w:rsidP="00307EEE">
      <w:pPr>
        <w:spacing w:line="360" w:lineRule="auto"/>
        <w:ind w:left="651" w:hanging="651"/>
        <w:jc w:val="both"/>
        <w:rPr>
          <w:rFonts w:ascii="David" w:hAnsi="David"/>
          <w:rtl/>
        </w:rPr>
      </w:pPr>
      <w:r>
        <w:rPr>
          <w:rFonts w:ascii="David" w:hAnsi="David"/>
          <w:rtl/>
        </w:rPr>
        <w:t>6.</w:t>
      </w:r>
      <w:r>
        <w:rPr>
          <w:rFonts w:ascii="David" w:hAnsi="David"/>
          <w:rtl/>
        </w:rPr>
        <w:tab/>
        <w:t xml:space="preserve">ביום 19.1.2023 הגישו המבקשות בקשה לעיון מחדש בצו העיקול הזמני ולהמרתו על נכסי מקרקעין שבעיזבון המנוח – דירה </w:t>
      </w:r>
      <w:r w:rsidR="00307EEE">
        <w:rPr>
          <w:rFonts w:ascii="David" w:hAnsi="David" w:hint="cs"/>
        </w:rPr>
        <w:t>A</w:t>
      </w:r>
      <w:r>
        <w:rPr>
          <w:rFonts w:ascii="David" w:hAnsi="David"/>
          <w:rtl/>
        </w:rPr>
        <w:t xml:space="preserve"> ברחוב </w:t>
      </w:r>
      <w:r w:rsidR="00307EEE">
        <w:rPr>
          <w:rFonts w:ascii="David" w:hAnsi="David" w:hint="cs"/>
        </w:rPr>
        <w:t>X</w:t>
      </w:r>
      <w:r w:rsidR="00307EEE">
        <w:rPr>
          <w:rFonts w:ascii="David" w:hAnsi="David" w:hint="cs"/>
          <w:rtl/>
        </w:rPr>
        <w:t xml:space="preserve"> בעיר ת.</w:t>
      </w:r>
      <w:r>
        <w:rPr>
          <w:rFonts w:ascii="David" w:hAnsi="David"/>
          <w:rtl/>
        </w:rPr>
        <w:t xml:space="preserve"> </w:t>
      </w:r>
      <w:r w:rsidR="00307EEE">
        <w:rPr>
          <w:rFonts w:ascii="David" w:hAnsi="David" w:hint="cs"/>
          <w:rtl/>
        </w:rPr>
        <w:t>,</w:t>
      </w:r>
      <w:r>
        <w:rPr>
          <w:rFonts w:ascii="David" w:hAnsi="David"/>
          <w:rtl/>
        </w:rPr>
        <w:t xml:space="preserve"> דירה </w:t>
      </w:r>
      <w:r w:rsidR="00307EEE">
        <w:rPr>
          <w:rFonts w:ascii="David" w:hAnsi="David" w:hint="cs"/>
        </w:rPr>
        <w:t>B</w:t>
      </w:r>
      <w:r>
        <w:rPr>
          <w:rFonts w:ascii="David" w:hAnsi="David"/>
          <w:rtl/>
        </w:rPr>
        <w:t xml:space="preserve"> ברחוב </w:t>
      </w:r>
      <w:r w:rsidR="00307EEE">
        <w:rPr>
          <w:rFonts w:ascii="David" w:hAnsi="David" w:hint="cs"/>
        </w:rPr>
        <w:t>X</w:t>
      </w:r>
      <w:r>
        <w:rPr>
          <w:rFonts w:ascii="David" w:hAnsi="David"/>
          <w:rtl/>
        </w:rPr>
        <w:t xml:space="preserve"> ב</w:t>
      </w:r>
      <w:r w:rsidR="00307EEE">
        <w:rPr>
          <w:rFonts w:ascii="David" w:hAnsi="David" w:hint="cs"/>
          <w:rtl/>
        </w:rPr>
        <w:t>עיר ת.</w:t>
      </w:r>
      <w:r>
        <w:rPr>
          <w:rFonts w:ascii="David" w:hAnsi="David"/>
          <w:rtl/>
        </w:rPr>
        <w:t xml:space="preserve">, דירת פנטהאוז ברחוב </w:t>
      </w:r>
      <w:r w:rsidR="00307EEE">
        <w:rPr>
          <w:rFonts w:ascii="David" w:hAnsi="David" w:hint="cs"/>
        </w:rPr>
        <w:t>Y</w:t>
      </w:r>
      <w:r>
        <w:rPr>
          <w:rFonts w:ascii="David" w:hAnsi="David"/>
          <w:rtl/>
        </w:rPr>
        <w:t xml:space="preserve"> ב</w:t>
      </w:r>
      <w:r w:rsidR="00307EEE">
        <w:rPr>
          <w:rFonts w:ascii="David" w:hAnsi="David" w:hint="cs"/>
          <w:rtl/>
        </w:rPr>
        <w:t xml:space="preserve">עיר ח. </w:t>
      </w:r>
      <w:r>
        <w:rPr>
          <w:rFonts w:ascii="David" w:hAnsi="David"/>
          <w:rtl/>
        </w:rPr>
        <w:t xml:space="preserve">ודירת פנטהאוז ברחוב </w:t>
      </w:r>
      <w:r w:rsidR="00307EEE">
        <w:rPr>
          <w:rFonts w:ascii="David" w:hAnsi="David" w:hint="cs"/>
        </w:rPr>
        <w:t>Z</w:t>
      </w:r>
      <w:r>
        <w:rPr>
          <w:rFonts w:ascii="David" w:hAnsi="David"/>
          <w:rtl/>
        </w:rPr>
        <w:t xml:space="preserve"> ב</w:t>
      </w:r>
      <w:r w:rsidR="00307EEE">
        <w:rPr>
          <w:rFonts w:ascii="David" w:hAnsi="David" w:hint="cs"/>
          <w:rtl/>
        </w:rPr>
        <w:t>עיר ח.</w:t>
      </w:r>
      <w:r>
        <w:rPr>
          <w:rFonts w:ascii="David" w:hAnsi="David"/>
          <w:rtl/>
        </w:rPr>
        <w:t xml:space="preserve"> (להלן: "נכסי המקרקעין"). כן עותרות המבקשות להשבת הערובה והעירבון שהפקידו עם מתן צו העיקול על חשבון המנוח. המבקשות טוענות בבקשתן את הטענות, כדלקמן:</w:t>
      </w:r>
    </w:p>
    <w:p w:rsidR="00072BE4" w:rsidRDefault="00072BE4" w:rsidP="00072BE4">
      <w:pPr>
        <w:spacing w:line="360" w:lineRule="auto"/>
        <w:ind w:left="651"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6.1</w:t>
      </w:r>
      <w:r>
        <w:rPr>
          <w:rFonts w:ascii="David" w:hAnsi="David"/>
          <w:rtl/>
        </w:rPr>
        <w:tab/>
        <w:t xml:space="preserve">ביום 1.1.2023 התקבל במשרד ב"כ המבקשות מכתב מהבנק לפיו נכון ליום 7.12.2022 אמנם התנהל חשבון בבנק על שם המנוח, אך בחשבון המנוח "לא היו כספים ו/או נכסים". מכאן עולה כי חשבון המנוח רוקן לחלוטין וכי כל הכספים שבו הוברחו בגדרי העיזבון, וזאת בטרם הוטל העיקול, דבר ההופך את צו העיקול שניתן לחסר כל ערך. </w:t>
      </w:r>
    </w:p>
    <w:p w:rsidR="00072BE4" w:rsidRDefault="00072BE4" w:rsidP="00072BE4">
      <w:pPr>
        <w:spacing w:line="360" w:lineRule="auto"/>
        <w:ind w:left="1269"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6.2</w:t>
      </w:r>
      <w:r>
        <w:rPr>
          <w:rFonts w:ascii="David" w:hAnsi="David"/>
          <w:rtl/>
        </w:rPr>
        <w:tab/>
        <w:t>עובדה זו התגלתה לאחר הטלת העיקול ולא ניתן היה לגלותה עובר להגשת הבקשה למתן צו עיקול, באופן המצדיק עיון מחדש בהחלטה שניתנה והמרת העיקול שניתן מחשבון הבנק של המנוח לנכסי המקרקעין שבהם זכו המשיבות ע"פ צוואת המנוח, וזאת על מנת להבטיח את זכויות המבקשות ואת קיומו התקין והיעיל של ההליך. אי מתן צו כאמור יכביד על ביצוע פסק הדין שינתן. לא ייגרם למשיבות כל נזק כתוצאה מהמרת העיקול לנכסי המקרקעין אשר טרם חולקו ואשר חלוקתם תתאפשר רק בתום בירור ההליך בתיק זה, וככל שייגרם להן נזק, יוכלו המשיבות להיפרע מנכסי המקרקעין שירשו המבקשות.</w:t>
      </w:r>
    </w:p>
    <w:p w:rsidR="00072BE4" w:rsidRDefault="00072BE4" w:rsidP="00072BE4">
      <w:pPr>
        <w:spacing w:line="360" w:lineRule="auto"/>
        <w:ind w:left="1269"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6.3</w:t>
      </w:r>
      <w:r>
        <w:rPr>
          <w:rFonts w:ascii="David" w:hAnsi="David"/>
          <w:rtl/>
        </w:rPr>
        <w:tab/>
        <w:t>בית המשפט מתבקש להסתפק בהפקדת ההתחייבות העצמית מטעם המבקשות ולהורות על השבת הערובה והעירבון שהפקידו, היות שמדובר בבקשה מבוססת הנתמכת במסמכים רבים. הסיכוי שייגרם למשיבות נזק מקבלת הבקשה הוא אפסי. די בהתחייבות העצמית שהוגשה ואין צורך בהכבדה נוספת על המבקשות.</w:t>
      </w:r>
    </w:p>
    <w:p w:rsidR="00072BE4" w:rsidRDefault="00072BE4" w:rsidP="00072BE4">
      <w:pPr>
        <w:spacing w:line="360" w:lineRule="auto"/>
        <w:ind w:left="651" w:hanging="651"/>
        <w:jc w:val="both"/>
        <w:rPr>
          <w:rFonts w:ascii="David" w:hAnsi="David"/>
          <w:rtl/>
        </w:rPr>
      </w:pPr>
    </w:p>
    <w:p w:rsidR="00072BE4" w:rsidRDefault="00072BE4" w:rsidP="00072BE4">
      <w:pPr>
        <w:spacing w:line="360" w:lineRule="auto"/>
        <w:ind w:left="651" w:hanging="651"/>
        <w:jc w:val="both"/>
        <w:rPr>
          <w:rFonts w:ascii="David" w:hAnsi="David"/>
          <w:rtl/>
        </w:rPr>
      </w:pPr>
      <w:r>
        <w:rPr>
          <w:rFonts w:ascii="David" w:hAnsi="David"/>
          <w:rtl/>
        </w:rPr>
        <w:t>7.</w:t>
      </w:r>
      <w:r>
        <w:rPr>
          <w:rFonts w:ascii="David" w:hAnsi="David"/>
          <w:rtl/>
        </w:rPr>
        <w:tab/>
        <w:t xml:space="preserve">ביום 23.2.2023 ניתנה החלטה הקובעת כי משעה שהעיקול על הכספים הוגבל לסך של 753,479 ₪. ₪ ובשים לב לכך שעל הסעד הזמני להיות מידתי, על המבקשות להבהיר את הצורך בהמרת העיקול לעיקול על ארבעה נכסי מקרקעין. </w:t>
      </w:r>
    </w:p>
    <w:p w:rsidR="00072BE4" w:rsidRDefault="00072BE4" w:rsidP="00072BE4">
      <w:pPr>
        <w:spacing w:line="360" w:lineRule="auto"/>
        <w:ind w:left="651" w:hanging="651"/>
        <w:jc w:val="both"/>
        <w:rPr>
          <w:rFonts w:ascii="David" w:hAnsi="David"/>
          <w:rtl/>
        </w:rPr>
      </w:pPr>
    </w:p>
    <w:p w:rsidR="00072BE4" w:rsidRDefault="00072BE4" w:rsidP="003471ED">
      <w:pPr>
        <w:spacing w:line="360" w:lineRule="auto"/>
        <w:ind w:left="651" w:hanging="651"/>
        <w:jc w:val="both"/>
        <w:rPr>
          <w:rFonts w:ascii="David" w:hAnsi="David"/>
          <w:rtl/>
        </w:rPr>
      </w:pPr>
      <w:r>
        <w:rPr>
          <w:rFonts w:ascii="David" w:hAnsi="David"/>
          <w:rtl/>
        </w:rPr>
        <w:t>8.</w:t>
      </w:r>
      <w:r>
        <w:rPr>
          <w:rFonts w:ascii="David" w:hAnsi="David"/>
          <w:rtl/>
        </w:rPr>
        <w:tab/>
        <w:t>ביום 27.2.2023 הודיעו המשיבות כי הצורך בהטלת העיקול על ארבעת נכסי המקרקעין נובע מכך שמחשבון המנוח נמשך והוברח סך כולל של כ- 2 מיליון ₪, בתקופה הסמוכה לפטירתו, כשנכון למועד זה טרם התבררה זהות מבצעי הברחת הכספים</w:t>
      </w:r>
      <w:r w:rsidR="003471ED">
        <w:rPr>
          <w:rFonts w:ascii="David" w:hAnsi="David" w:hint="cs"/>
          <w:rtl/>
        </w:rPr>
        <w:t xml:space="preserve">. המבקשות טוענות כי </w:t>
      </w:r>
      <w:r>
        <w:rPr>
          <w:rFonts w:ascii="David" w:hAnsi="David"/>
          <w:rtl/>
        </w:rPr>
        <w:t xml:space="preserve">היות </w:t>
      </w:r>
      <w:r>
        <w:rPr>
          <w:rFonts w:ascii="David" w:hAnsi="David"/>
          <w:rtl/>
        </w:rPr>
        <w:lastRenderedPageBreak/>
        <w:t>שהמנוח ציווה לכל אחת מהמשיבות נכס מקרקעין שונה ועל מנת שה</w:t>
      </w:r>
      <w:r w:rsidR="003471ED">
        <w:rPr>
          <w:rFonts w:ascii="David" w:hAnsi="David" w:hint="cs"/>
          <w:rtl/>
        </w:rPr>
        <w:t>ן</w:t>
      </w:r>
      <w:r>
        <w:rPr>
          <w:rFonts w:ascii="David" w:hAnsi="David"/>
          <w:rtl/>
        </w:rPr>
        <w:t xml:space="preserve"> לא תמצאנה את עצמן מול שוקת שבורה, יש להטיל את צו העיקול בסכומו המלא על כל אחד מנכסי המקרקעין.</w:t>
      </w:r>
    </w:p>
    <w:p w:rsidR="00072BE4" w:rsidRDefault="00072BE4" w:rsidP="00072BE4">
      <w:pPr>
        <w:spacing w:line="360" w:lineRule="auto"/>
        <w:ind w:left="651" w:hanging="651"/>
        <w:jc w:val="both"/>
        <w:rPr>
          <w:rFonts w:ascii="David" w:hAnsi="David"/>
          <w:rtl/>
        </w:rPr>
      </w:pPr>
    </w:p>
    <w:p w:rsidR="00072BE4" w:rsidRDefault="00072BE4" w:rsidP="00072BE4">
      <w:pPr>
        <w:spacing w:line="360" w:lineRule="auto"/>
        <w:ind w:left="651" w:hanging="651"/>
        <w:jc w:val="both"/>
        <w:rPr>
          <w:rFonts w:ascii="David" w:hAnsi="David"/>
          <w:rtl/>
        </w:rPr>
      </w:pPr>
      <w:r>
        <w:rPr>
          <w:rFonts w:ascii="David" w:hAnsi="David"/>
          <w:rtl/>
        </w:rPr>
        <w:t>9.</w:t>
      </w:r>
      <w:r>
        <w:rPr>
          <w:rFonts w:ascii="David" w:hAnsi="David"/>
          <w:rtl/>
        </w:rPr>
        <w:tab/>
        <w:t>ביום 1.3.2023 ניתנה החלטה המורה על קבלת תגובת המשיבות וביום 29.3.2023 הגישו המשיבות את תגובתן לבקשה, שבה הביעו את התנגדותן לסעד המבוקש וטענו כי דין הבקשה להידחות תוך חיוב המבקשות בהוצאות עונשיות, וזאת מהטעמים הבאים:</w:t>
      </w:r>
    </w:p>
    <w:p w:rsidR="00072BE4" w:rsidRDefault="00072BE4" w:rsidP="00072BE4">
      <w:pPr>
        <w:spacing w:line="360" w:lineRule="auto"/>
        <w:ind w:left="651" w:hanging="651"/>
        <w:jc w:val="both"/>
        <w:rPr>
          <w:rFonts w:ascii="David" w:hAnsi="David"/>
          <w:rtl/>
        </w:rPr>
      </w:pPr>
      <w:r>
        <w:rPr>
          <w:rFonts w:ascii="David" w:hAnsi="David"/>
          <w:rtl/>
        </w:rPr>
        <w:t xml:space="preserve"> </w:t>
      </w:r>
    </w:p>
    <w:p w:rsidR="00072BE4" w:rsidRDefault="00072BE4" w:rsidP="00072BE4">
      <w:pPr>
        <w:spacing w:line="360" w:lineRule="auto"/>
        <w:ind w:left="1410" w:hanging="651"/>
        <w:jc w:val="both"/>
        <w:rPr>
          <w:rFonts w:ascii="David" w:hAnsi="David"/>
          <w:rtl/>
        </w:rPr>
      </w:pPr>
      <w:r>
        <w:rPr>
          <w:rFonts w:ascii="David" w:hAnsi="David"/>
          <w:rtl/>
        </w:rPr>
        <w:t>9.1</w:t>
      </w:r>
      <w:r>
        <w:rPr>
          <w:rFonts w:ascii="David" w:hAnsi="David"/>
          <w:rtl/>
        </w:rPr>
        <w:tab/>
        <w:t>המבקשות ממהרות להסיק כי אין במסת העיזבון די כספים מזומנים בכדי לער</w:t>
      </w:r>
      <w:r w:rsidR="003471ED">
        <w:rPr>
          <w:rFonts w:ascii="David" w:hAnsi="David"/>
          <w:rtl/>
        </w:rPr>
        <w:t>וב לתביעתן, אך הנחה זו שגויה מי</w:t>
      </w:r>
      <w:r>
        <w:rPr>
          <w:rFonts w:ascii="David" w:hAnsi="David"/>
          <w:rtl/>
        </w:rPr>
        <w:t>סודה ולמיטב ידיעת המשיבות אמור להיות בעיזבון די כספים לצורך כך. לפיכך, העתרות לבקשה תוביל למצב של עיקול בכפל או למצער עיקול יתר.</w:t>
      </w:r>
    </w:p>
    <w:p w:rsidR="00072BE4" w:rsidRDefault="00072BE4" w:rsidP="00072BE4">
      <w:pPr>
        <w:spacing w:line="360" w:lineRule="auto"/>
        <w:ind w:left="1410" w:hanging="651"/>
        <w:jc w:val="both"/>
        <w:rPr>
          <w:rFonts w:ascii="David" w:hAnsi="David"/>
          <w:rtl/>
        </w:rPr>
      </w:pPr>
    </w:p>
    <w:p w:rsidR="00072BE4" w:rsidRDefault="00072BE4" w:rsidP="00072BE4">
      <w:pPr>
        <w:spacing w:line="360" w:lineRule="auto"/>
        <w:ind w:left="1410" w:hanging="651"/>
        <w:jc w:val="both"/>
        <w:rPr>
          <w:rFonts w:ascii="David" w:hAnsi="David"/>
          <w:rtl/>
        </w:rPr>
      </w:pPr>
      <w:r>
        <w:rPr>
          <w:rFonts w:ascii="David" w:hAnsi="David"/>
          <w:rtl/>
        </w:rPr>
        <w:t>9.2</w:t>
      </w:r>
      <w:r>
        <w:rPr>
          <w:rFonts w:ascii="David" w:hAnsi="David"/>
          <w:rtl/>
        </w:rPr>
        <w:tab/>
        <w:t>המבקשות אינן זכאיות ל"כפל מבצעים" – הן לזכויות בחלק מהעיזבון מכוח צוואת המנוח והן לחלק נוסף בעיזבון מכוח הסכם הממון. רק לאחר שיכריע בית המשפט בסוגיה המקדמית הזו, ובכפוף לתוצאתה, יתבקש בית המשפט להכריע בעתירתן של המבקשות.</w:t>
      </w:r>
    </w:p>
    <w:p w:rsidR="00072BE4" w:rsidRDefault="00072BE4" w:rsidP="00072BE4">
      <w:pPr>
        <w:spacing w:line="360" w:lineRule="auto"/>
        <w:ind w:left="1410" w:hanging="651"/>
        <w:jc w:val="both"/>
        <w:rPr>
          <w:rFonts w:ascii="David" w:hAnsi="David"/>
          <w:rtl/>
        </w:rPr>
      </w:pPr>
    </w:p>
    <w:p w:rsidR="00072BE4" w:rsidRDefault="00072BE4" w:rsidP="00072BE4">
      <w:pPr>
        <w:spacing w:line="360" w:lineRule="auto"/>
        <w:ind w:left="1410" w:hanging="651"/>
        <w:jc w:val="both"/>
        <w:rPr>
          <w:rFonts w:ascii="David" w:hAnsi="David"/>
          <w:rtl/>
        </w:rPr>
      </w:pPr>
      <w:r>
        <w:rPr>
          <w:rFonts w:ascii="David" w:hAnsi="David"/>
          <w:rtl/>
        </w:rPr>
        <w:t>9.3</w:t>
      </w:r>
      <w:r>
        <w:rPr>
          <w:rFonts w:ascii="David" w:hAnsi="David"/>
          <w:rtl/>
        </w:rPr>
        <w:tab/>
        <w:t>עיקול נכסי המקרקעין יש בו כדי להסב לעיזבון ולמשיבות נזק ממשי בלתי סביר ובלתי מידתי, כל זאת בטרם התבררה סוגיית זכאותן של המבקשות לכספים מכח הסכם הממון ולחלקן מכוח צוואת המנוח.</w:t>
      </w:r>
    </w:p>
    <w:p w:rsidR="00072BE4" w:rsidRDefault="00072BE4" w:rsidP="00072BE4">
      <w:pPr>
        <w:spacing w:line="360" w:lineRule="auto"/>
        <w:ind w:left="1410" w:hanging="651"/>
        <w:jc w:val="both"/>
        <w:rPr>
          <w:rFonts w:ascii="David" w:hAnsi="David"/>
          <w:rtl/>
        </w:rPr>
      </w:pPr>
    </w:p>
    <w:p w:rsidR="00072BE4" w:rsidRDefault="00072BE4" w:rsidP="00072BE4">
      <w:pPr>
        <w:spacing w:line="360" w:lineRule="auto"/>
        <w:ind w:left="1410" w:hanging="651"/>
        <w:jc w:val="both"/>
        <w:rPr>
          <w:rFonts w:ascii="David" w:hAnsi="David"/>
          <w:rtl/>
        </w:rPr>
      </w:pPr>
      <w:r>
        <w:rPr>
          <w:rFonts w:ascii="David" w:hAnsi="David"/>
          <w:rtl/>
        </w:rPr>
        <w:t>9.4</w:t>
      </w:r>
      <w:r>
        <w:rPr>
          <w:rFonts w:ascii="David" w:hAnsi="David"/>
          <w:rtl/>
        </w:rPr>
        <w:tab/>
        <w:t>בקשה לעיון מחדש אינה ההליך הראוי וההוגן בנדוננו. המבקשות עותרות לשנות החלטת בית משפט ומצפה מבית המשפט לשבת כערכאת ערעור על החלטותיו. יתרה מזו, הסעד המבוקש על ידי המבקשות אינו נמנה על רשימת ה"תיקונים" הסגורה שבסעיף 81 לחוק בתי המשפט (נוסח משולב), התשמ"ד-1984.</w:t>
      </w:r>
    </w:p>
    <w:p w:rsidR="00072BE4" w:rsidRDefault="00072BE4" w:rsidP="00072BE4">
      <w:pPr>
        <w:spacing w:line="360" w:lineRule="auto"/>
        <w:ind w:left="651" w:hanging="651"/>
        <w:jc w:val="both"/>
        <w:rPr>
          <w:rFonts w:ascii="David" w:hAnsi="David"/>
          <w:rtl/>
        </w:rPr>
      </w:pPr>
    </w:p>
    <w:p w:rsidR="00072BE4" w:rsidRDefault="00072BE4" w:rsidP="00072BE4">
      <w:pPr>
        <w:spacing w:line="360" w:lineRule="auto"/>
        <w:ind w:left="651" w:hanging="651"/>
        <w:jc w:val="both"/>
        <w:rPr>
          <w:rFonts w:ascii="David" w:hAnsi="David"/>
          <w:rtl/>
        </w:rPr>
      </w:pPr>
      <w:r>
        <w:rPr>
          <w:rFonts w:ascii="David" w:hAnsi="David"/>
          <w:rtl/>
        </w:rPr>
        <w:t>10.</w:t>
      </w:r>
      <w:r>
        <w:rPr>
          <w:rFonts w:ascii="David" w:hAnsi="David"/>
          <w:rtl/>
        </w:rPr>
        <w:tab/>
        <w:t xml:space="preserve">ביום 4.4.2023 הגישו המבקשות את תגובתן לתגובת המשיבות, שבה טענו כי המשיבות לא תמכו את תגובתן בתצהיר בניגוד לנדרש בדין, כך שאין לקבל את טענתן שיש די כספים במסת העיזבון כדי לערוב לתביעת המבקשות. כן טענו המבקשות, כי טענת המשיבות כי העתרות לבקשה משמעה "עיקול בכפל" היא טענה שאין לקבלה, שהרי המבקשות ביקשו להמיר את העיקול שניתן על חשבון הבנק של המנוח נוכח הגילוי כי החשבון מרוקן מכספים. בנוסף לכך, המבקשות טענו כי סעיף 81 לחוק בתי המשפט אינו רלוונטי לענייננו וכי המשיבות לא הצביעו על כל נזק ממשי שייגרם להן ככל שתתקבל הבקשה. לפיכך, המבקשות חזרו על בקשתן להמרת העיקול מחשבון המנוח לנכסי המקרקעין ולהשבת הערבויות שהוגשו. </w:t>
      </w:r>
    </w:p>
    <w:p w:rsidR="00072BE4" w:rsidRDefault="00072BE4" w:rsidP="00072BE4">
      <w:pPr>
        <w:spacing w:line="360" w:lineRule="auto"/>
        <w:ind w:left="651" w:hanging="651"/>
        <w:jc w:val="both"/>
        <w:rPr>
          <w:rFonts w:ascii="David" w:hAnsi="David"/>
          <w:rtl/>
        </w:rPr>
      </w:pPr>
      <w:r>
        <w:rPr>
          <w:rFonts w:ascii="David" w:hAnsi="David"/>
          <w:rtl/>
        </w:rPr>
        <w:t xml:space="preserve"> </w:t>
      </w:r>
    </w:p>
    <w:p w:rsidR="00072BE4" w:rsidRDefault="00072BE4" w:rsidP="00072BE4">
      <w:pPr>
        <w:spacing w:line="360" w:lineRule="auto"/>
        <w:ind w:left="651" w:hanging="651"/>
        <w:jc w:val="both"/>
        <w:rPr>
          <w:rFonts w:ascii="David" w:hAnsi="David"/>
          <w:rtl/>
        </w:rPr>
      </w:pPr>
      <w:r>
        <w:rPr>
          <w:rFonts w:ascii="David" w:hAnsi="David"/>
          <w:rtl/>
        </w:rPr>
        <w:lastRenderedPageBreak/>
        <w:t>11.</w:t>
      </w:r>
      <w:r>
        <w:rPr>
          <w:rFonts w:ascii="David" w:hAnsi="David"/>
          <w:rtl/>
        </w:rPr>
        <w:tab/>
        <w:t>הצדדים הודיעו על הסכמתם לכך שההחלטה בבקשה תינתן על בסיס כתבי הטענות וללא צורך בדיון ועתה ניתנת החלטה זו.</w:t>
      </w:r>
    </w:p>
    <w:p w:rsidR="00072BE4" w:rsidRDefault="00072BE4" w:rsidP="00072BE4">
      <w:pPr>
        <w:spacing w:line="360" w:lineRule="auto"/>
        <w:ind w:left="651" w:hanging="651"/>
        <w:jc w:val="both"/>
        <w:rPr>
          <w:rFonts w:ascii="David" w:hAnsi="David"/>
          <w:rtl/>
        </w:rPr>
      </w:pPr>
    </w:p>
    <w:p w:rsidR="00072BE4" w:rsidRDefault="00072BE4" w:rsidP="00072BE4">
      <w:pPr>
        <w:spacing w:line="360" w:lineRule="auto"/>
        <w:ind w:left="651" w:hanging="651"/>
        <w:jc w:val="both"/>
        <w:rPr>
          <w:rFonts w:ascii="David" w:hAnsi="David"/>
          <w:rtl/>
        </w:rPr>
      </w:pPr>
      <w:r>
        <w:rPr>
          <w:rFonts w:ascii="David" w:hAnsi="David"/>
          <w:rtl/>
        </w:rPr>
        <w:t>12.</w:t>
      </w:r>
      <w:r>
        <w:rPr>
          <w:rFonts w:ascii="David" w:hAnsi="David"/>
          <w:rtl/>
        </w:rPr>
        <w:tab/>
      </w:r>
      <w:r>
        <w:rPr>
          <w:rFonts w:ascii="David" w:hAnsi="David"/>
          <w:b/>
          <w:bCs/>
          <w:u w:val="single"/>
          <w:rtl/>
        </w:rPr>
        <w:t>דיון והכרעה</w:t>
      </w:r>
    </w:p>
    <w:p w:rsidR="00072BE4" w:rsidRDefault="00072BE4" w:rsidP="00072BE4">
      <w:pPr>
        <w:spacing w:line="360" w:lineRule="auto"/>
        <w:ind w:left="651"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12.1</w:t>
      </w:r>
      <w:r>
        <w:rPr>
          <w:rFonts w:ascii="David" w:hAnsi="David"/>
          <w:rtl/>
        </w:rPr>
        <w:tab/>
        <w:t>לאחר שעיינתי בטענות הצדדים, מצאתי כי דין הבקשה להתקבל, וזאת מהטעמים שאפרט להלן.</w:t>
      </w:r>
    </w:p>
    <w:p w:rsidR="00072BE4" w:rsidRDefault="00072BE4" w:rsidP="00072BE4">
      <w:pPr>
        <w:spacing w:line="360" w:lineRule="auto"/>
        <w:ind w:left="1269"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12.2</w:t>
      </w:r>
      <w:r>
        <w:rPr>
          <w:rFonts w:ascii="David" w:hAnsi="David"/>
          <w:rtl/>
        </w:rPr>
        <w:tab/>
        <w:t xml:space="preserve">בתיק זה ניתן ביום 16.11.2022 צו עיקול זמני ברישום, במעמד צד אחד, על זכויות המנוח בחשבון הבנק ועד לסך של 753,479 ₪, תוך שנקבע בסעיף 3 להחלטה: </w:t>
      </w:r>
      <w:r>
        <w:rPr>
          <w:rFonts w:ascii="David" w:hAnsi="David"/>
          <w:b/>
          <w:bCs/>
          <w:rtl/>
        </w:rPr>
        <w:t xml:space="preserve">"לנוכח האמור בבקשה ומצורפיה,  שוכנעתי בקיום עילת תביעה לכאורה, וכן כי ישנו חשש סביר שאי מתן הצו יכביד על ביצוע פסק הדין ככל שיינתן לטובת המבקשת, ברף הדרוש לשם מתן צו זמני. </w:t>
      </w:r>
      <w:r>
        <w:rPr>
          <w:rFonts w:ascii="David" w:hAnsi="David"/>
          <w:b/>
          <w:bCs/>
          <w:rtl/>
          <w:lang w:eastAsia="he-IL"/>
        </w:rPr>
        <w:t xml:space="preserve">כן שוכנעתי  כי </w:t>
      </w:r>
      <w:r>
        <w:rPr>
          <w:rFonts w:ascii="David" w:hAnsi="David"/>
          <w:b/>
          <w:bCs/>
          <w:rtl/>
        </w:rPr>
        <w:t xml:space="preserve">מאזן הנוחות נוטה לטובת מתן הצו". </w:t>
      </w:r>
    </w:p>
    <w:p w:rsidR="00072BE4" w:rsidRDefault="00072BE4" w:rsidP="00072BE4">
      <w:pPr>
        <w:spacing w:line="360" w:lineRule="auto"/>
        <w:ind w:left="1269" w:hanging="651"/>
        <w:jc w:val="both"/>
        <w:rPr>
          <w:rFonts w:ascii="David" w:hAnsi="David"/>
          <w:rtl/>
        </w:rPr>
      </w:pPr>
    </w:p>
    <w:p w:rsidR="00072BE4" w:rsidRDefault="00072BE4" w:rsidP="00430C39">
      <w:pPr>
        <w:spacing w:line="360" w:lineRule="auto"/>
        <w:ind w:left="1269" w:hanging="651"/>
        <w:jc w:val="both"/>
        <w:rPr>
          <w:rFonts w:ascii="David" w:hAnsi="David"/>
          <w:rtl/>
        </w:rPr>
      </w:pPr>
      <w:r>
        <w:rPr>
          <w:rFonts w:ascii="David" w:hAnsi="David"/>
          <w:rtl/>
        </w:rPr>
        <w:t>11.3</w:t>
      </w:r>
      <w:r>
        <w:rPr>
          <w:rFonts w:ascii="David" w:hAnsi="David"/>
          <w:rtl/>
        </w:rPr>
        <w:tab/>
        <w:t>בסעיף 7 להחלטה הנ"ל נקבע כי המשיבות רשאיות לבקש את בי</w:t>
      </w:r>
      <w:r w:rsidR="00430C39">
        <w:rPr>
          <w:rFonts w:ascii="David" w:hAnsi="David"/>
          <w:rtl/>
        </w:rPr>
        <w:t>טול הצו בתוך 30 יום ממועד קבלתו</w:t>
      </w:r>
      <w:r w:rsidR="00430C39">
        <w:rPr>
          <w:rFonts w:ascii="David" w:hAnsi="David" w:hint="cs"/>
          <w:rtl/>
        </w:rPr>
        <w:t xml:space="preserve">. עם זאת, </w:t>
      </w:r>
      <w:r>
        <w:rPr>
          <w:rFonts w:ascii="David" w:hAnsi="David"/>
          <w:rtl/>
        </w:rPr>
        <w:t>המשיבות לא ביקשו את ביטול</w:t>
      </w:r>
      <w:r w:rsidR="00430C39">
        <w:rPr>
          <w:rFonts w:ascii="David" w:hAnsi="David" w:hint="cs"/>
          <w:rtl/>
        </w:rPr>
        <w:t xml:space="preserve"> הצ</w:t>
      </w:r>
      <w:r>
        <w:rPr>
          <w:rFonts w:ascii="David" w:hAnsi="David"/>
          <w:rtl/>
        </w:rPr>
        <w:t>ו.</w:t>
      </w:r>
    </w:p>
    <w:p w:rsidR="00072BE4" w:rsidRDefault="00072BE4" w:rsidP="00072BE4">
      <w:pPr>
        <w:spacing w:line="360" w:lineRule="auto"/>
        <w:ind w:left="1269" w:hanging="651"/>
        <w:jc w:val="both"/>
        <w:rPr>
          <w:rFonts w:ascii="David" w:hAnsi="David"/>
          <w:rtl/>
        </w:rPr>
      </w:pPr>
    </w:p>
    <w:p w:rsidR="00072BE4" w:rsidRDefault="00072BE4" w:rsidP="00307EEE">
      <w:pPr>
        <w:spacing w:line="360" w:lineRule="auto"/>
        <w:ind w:left="1269" w:hanging="651"/>
        <w:jc w:val="both"/>
        <w:rPr>
          <w:rFonts w:ascii="David" w:hAnsi="David"/>
          <w:rtl/>
        </w:rPr>
      </w:pPr>
      <w:r>
        <w:rPr>
          <w:rFonts w:ascii="David" w:hAnsi="David"/>
          <w:rtl/>
        </w:rPr>
        <w:t>12.4</w:t>
      </w:r>
      <w:r>
        <w:rPr>
          <w:rFonts w:ascii="David" w:hAnsi="David"/>
          <w:rtl/>
        </w:rPr>
        <w:tab/>
        <w:t xml:space="preserve">המבקשות מבקשות לעיין מחדש בהחלטה, שניתנה על פי בקשתן, בדבר מתן צו עיקול זמני ברישום על הכספים שבחשבון המנוח ולהמיר את העיקול שניתן בעיקול על המקרקעין שבהם זכו המשיבות על פי צוואת המנוח, כשטענתן היא כי לאחר מתן צו העיקול הנ"ל התגלתה להן עובדה חדשה, שלפיה בחשבון המנוח שלגביו התבקש צו העיקול אין כספים ו/או נכסים. המבקשות תומכות את בקשתן במכתב מיום 7.12.2022 מבנק </w:t>
      </w:r>
      <w:r w:rsidR="00307EEE">
        <w:rPr>
          <w:rFonts w:ascii="David" w:hAnsi="David" w:hint="cs"/>
        </w:rPr>
        <w:t>X</w:t>
      </w:r>
      <w:r>
        <w:rPr>
          <w:rFonts w:ascii="David" w:hAnsi="David"/>
          <w:rtl/>
        </w:rPr>
        <w:t>, שבו נכתבו הדברים הבאים:</w:t>
      </w:r>
    </w:p>
    <w:p w:rsidR="00072BE4" w:rsidRDefault="00072BE4" w:rsidP="00072BE4">
      <w:pPr>
        <w:spacing w:line="360" w:lineRule="auto"/>
        <w:ind w:left="651" w:hanging="651"/>
        <w:jc w:val="both"/>
        <w:rPr>
          <w:rFonts w:ascii="David" w:hAnsi="David"/>
          <w:rtl/>
        </w:rPr>
      </w:pPr>
    </w:p>
    <w:p w:rsidR="00072BE4" w:rsidRDefault="00072BE4" w:rsidP="00307EEE">
      <w:pPr>
        <w:spacing w:line="360" w:lineRule="auto"/>
        <w:ind w:left="1977" w:right="567"/>
        <w:jc w:val="both"/>
        <w:rPr>
          <w:rFonts w:ascii="David" w:hAnsi="David"/>
          <w:b/>
          <w:bCs/>
          <w:rtl/>
        </w:rPr>
      </w:pPr>
      <w:r>
        <w:rPr>
          <w:rFonts w:ascii="David" w:hAnsi="David"/>
          <w:b/>
          <w:bCs/>
          <w:rtl/>
        </w:rPr>
        <w:t xml:space="preserve">"הנדון: צו עיקול ע"ש </w:t>
      </w:r>
      <w:r w:rsidR="00307EEE">
        <w:rPr>
          <w:rFonts w:ascii="David" w:hAnsi="David" w:hint="cs"/>
          <w:b/>
          <w:bCs/>
          <w:rtl/>
        </w:rPr>
        <w:t>ס.ל.ח</w:t>
      </w:r>
      <w:r>
        <w:rPr>
          <w:rFonts w:ascii="David" w:hAnsi="David"/>
          <w:b/>
          <w:bCs/>
          <w:rtl/>
        </w:rPr>
        <w:t>.</w:t>
      </w:r>
      <w:r w:rsidR="00307EEE">
        <w:rPr>
          <w:rFonts w:ascii="David" w:hAnsi="David" w:hint="cs"/>
          <w:b/>
          <w:bCs/>
          <w:rtl/>
        </w:rPr>
        <w:t xml:space="preserve"> </w:t>
      </w:r>
      <w:r>
        <w:rPr>
          <w:rFonts w:ascii="David" w:hAnsi="David"/>
          <w:b/>
          <w:bCs/>
          <w:rtl/>
        </w:rPr>
        <w:t>... הננו מאשרים קבלת ההודעה שבנדון ומתכבדים להודיעכם כי ביום קבל</w:t>
      </w:r>
      <w:r w:rsidR="00470867">
        <w:rPr>
          <w:rFonts w:ascii="David" w:hAnsi="David"/>
          <w:b/>
          <w:bCs/>
          <w:rtl/>
        </w:rPr>
        <w:t>תה, דהיינו ביום 7.12.2022 התנהל</w:t>
      </w:r>
      <w:r>
        <w:rPr>
          <w:rFonts w:ascii="David" w:hAnsi="David"/>
          <w:b/>
          <w:bCs/>
          <w:rtl/>
        </w:rPr>
        <w:t xml:space="preserve"> בסניף </w:t>
      </w:r>
      <w:r w:rsidR="00307EEE">
        <w:rPr>
          <w:rFonts w:ascii="David" w:hAnsi="David" w:hint="cs"/>
          <w:b/>
          <w:bCs/>
          <w:rtl/>
        </w:rPr>
        <w:t>___</w:t>
      </w:r>
      <w:r>
        <w:rPr>
          <w:rFonts w:ascii="David" w:hAnsi="David"/>
          <w:b/>
          <w:bCs/>
          <w:rtl/>
        </w:rPr>
        <w:t xml:space="preserve"> –</w:t>
      </w:r>
      <w:r w:rsidR="00307EEE">
        <w:rPr>
          <w:rFonts w:ascii="David" w:hAnsi="David" w:hint="cs"/>
          <w:b/>
          <w:bCs/>
        </w:rPr>
        <w:t xml:space="preserve">  </w:t>
      </w:r>
      <w:r w:rsidR="00307EEE">
        <w:rPr>
          <w:rFonts w:ascii="David" w:hAnsi="David" w:hint="cs"/>
          <w:b/>
          <w:bCs/>
          <w:rtl/>
        </w:rPr>
        <w:t>מספר ___</w:t>
      </w:r>
      <w:r>
        <w:rPr>
          <w:rFonts w:ascii="David" w:hAnsi="David"/>
          <w:b/>
          <w:bCs/>
          <w:rtl/>
        </w:rPr>
        <w:t>, חשבון במטבע ישראלי, ע"ש הנתבע הנ"ל  ולא היו כספים ו/או נכסים לזכות הנתבע הנ"ל".</w:t>
      </w:r>
    </w:p>
    <w:p w:rsidR="00072BE4" w:rsidRDefault="00072BE4" w:rsidP="00072BE4">
      <w:pPr>
        <w:spacing w:line="360" w:lineRule="auto"/>
        <w:ind w:left="651" w:hanging="651"/>
        <w:jc w:val="both"/>
        <w:rPr>
          <w:rFonts w:ascii="David" w:hAnsi="David"/>
          <w:rtl/>
        </w:rPr>
      </w:pPr>
    </w:p>
    <w:p w:rsidR="00072BE4" w:rsidRDefault="00072BE4" w:rsidP="000A3CC8">
      <w:pPr>
        <w:spacing w:line="360" w:lineRule="auto"/>
        <w:ind w:left="1269" w:hanging="651"/>
        <w:jc w:val="both"/>
        <w:rPr>
          <w:rFonts w:ascii="David" w:hAnsi="David"/>
          <w:rtl/>
        </w:rPr>
      </w:pPr>
      <w:r>
        <w:rPr>
          <w:rFonts w:ascii="David" w:hAnsi="David"/>
          <w:rtl/>
        </w:rPr>
        <w:t>12.5</w:t>
      </w:r>
      <w:r>
        <w:rPr>
          <w:rFonts w:ascii="David" w:hAnsi="David"/>
          <w:rtl/>
        </w:rPr>
        <w:tab/>
        <w:t>תקנה 368 לתקנות תשמ"ד, וכמוה גם תקנה 98 לתקנות סדר האזרחי, תשע"ט-2018 מסמיכות את בית המשפט לעיין מחדש ב</w:t>
      </w:r>
      <w:r w:rsidR="00470867">
        <w:rPr>
          <w:rFonts w:ascii="David" w:hAnsi="David" w:hint="cs"/>
          <w:rtl/>
        </w:rPr>
        <w:t>סעד</w:t>
      </w:r>
      <w:r w:rsidR="000A3CC8">
        <w:rPr>
          <w:rFonts w:ascii="David" w:hAnsi="David" w:hint="cs"/>
          <w:rtl/>
        </w:rPr>
        <w:t xml:space="preserve"> </w:t>
      </w:r>
      <w:r>
        <w:rPr>
          <w:rFonts w:ascii="David" w:hAnsi="David"/>
          <w:rtl/>
        </w:rPr>
        <w:t xml:space="preserve">זמני, מקום שבו התגלו עובדות חדשות שלא היו ידועות </w:t>
      </w:r>
      <w:r w:rsidR="00470867">
        <w:rPr>
          <w:rFonts w:ascii="David" w:hAnsi="David"/>
          <w:rtl/>
        </w:rPr>
        <w:t>בעת מתן ההחלטה</w:t>
      </w:r>
      <w:r w:rsidR="00470867">
        <w:rPr>
          <w:rFonts w:ascii="David" w:hAnsi="David" w:hint="cs"/>
          <w:rtl/>
        </w:rPr>
        <w:t>.</w:t>
      </w:r>
    </w:p>
    <w:p w:rsidR="00072BE4" w:rsidRDefault="00072BE4" w:rsidP="00072BE4">
      <w:pPr>
        <w:spacing w:line="360" w:lineRule="auto"/>
        <w:ind w:left="1269" w:hanging="651"/>
        <w:jc w:val="both"/>
        <w:rPr>
          <w:rFonts w:ascii="David" w:hAnsi="David"/>
          <w:rtl/>
        </w:rPr>
      </w:pPr>
    </w:p>
    <w:p w:rsidR="00072BE4" w:rsidRDefault="00072BE4" w:rsidP="00470867">
      <w:pPr>
        <w:spacing w:line="360" w:lineRule="auto"/>
        <w:ind w:left="1269" w:hanging="651"/>
        <w:jc w:val="both"/>
        <w:rPr>
          <w:rFonts w:ascii="David" w:hAnsi="David"/>
          <w:rtl/>
        </w:rPr>
      </w:pPr>
      <w:r>
        <w:rPr>
          <w:rFonts w:ascii="David" w:hAnsi="David"/>
          <w:rtl/>
        </w:rPr>
        <w:lastRenderedPageBreak/>
        <w:t>12.6</w:t>
      </w:r>
      <w:r>
        <w:rPr>
          <w:rFonts w:ascii="David" w:hAnsi="David"/>
          <w:rtl/>
        </w:rPr>
        <w:tab/>
        <w:t xml:space="preserve">העובדה כי בחשבון הבנק של המנוח אין כספים ו/או נכסים מהווה עובדה חדשה שנתגלתה רק לאחר מתן צו העיקול מיום </w:t>
      </w:r>
      <w:r w:rsidR="00470867">
        <w:rPr>
          <w:rFonts w:ascii="David" w:hAnsi="David" w:hint="cs"/>
          <w:rtl/>
        </w:rPr>
        <w:t xml:space="preserve"> </w:t>
      </w:r>
      <w:r>
        <w:rPr>
          <w:rFonts w:ascii="David" w:hAnsi="David"/>
          <w:rtl/>
        </w:rPr>
        <w:t>16.11.2022</w:t>
      </w:r>
      <w:r w:rsidR="00470867">
        <w:rPr>
          <w:rFonts w:ascii="David" w:hAnsi="David" w:hint="cs"/>
          <w:rtl/>
        </w:rPr>
        <w:t xml:space="preserve"> ואשר לא ניתן היה לגלותה בשקידה סבירה קודם לכן</w:t>
      </w:r>
      <w:r>
        <w:rPr>
          <w:rFonts w:ascii="David" w:hAnsi="David"/>
          <w:rtl/>
        </w:rPr>
        <w:t xml:space="preserve">, באופן המצדיק עיון מחדש </w:t>
      </w:r>
      <w:r w:rsidR="00470867">
        <w:rPr>
          <w:rFonts w:ascii="David" w:hAnsi="David" w:hint="cs"/>
          <w:rtl/>
        </w:rPr>
        <w:t>בסעד</w:t>
      </w:r>
      <w:r>
        <w:rPr>
          <w:rFonts w:ascii="David" w:hAnsi="David"/>
          <w:rtl/>
        </w:rPr>
        <w:t xml:space="preserve"> הזמני </w:t>
      </w:r>
      <w:r w:rsidR="00470867">
        <w:rPr>
          <w:rFonts w:ascii="David" w:hAnsi="David" w:hint="cs"/>
          <w:rtl/>
        </w:rPr>
        <w:t>שניתן</w:t>
      </w:r>
      <w:r>
        <w:rPr>
          <w:rFonts w:ascii="David" w:hAnsi="David"/>
          <w:rtl/>
        </w:rPr>
        <w:t>.</w:t>
      </w:r>
    </w:p>
    <w:p w:rsidR="00072BE4" w:rsidRDefault="00072BE4" w:rsidP="00072BE4">
      <w:pPr>
        <w:spacing w:line="360" w:lineRule="auto"/>
        <w:ind w:left="1269"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12.7</w:t>
      </w:r>
      <w:r>
        <w:rPr>
          <w:rFonts w:ascii="David" w:hAnsi="David"/>
          <w:rtl/>
        </w:rPr>
        <w:tab/>
        <w:t>אין לקבל את טענת המשיבות כי על המבקשות להוכיח תחילה את טענותיהן לזכאותן לקבל את חלקן הן ע"פ צוואת המנוח והן מכוח הסכם הממון וכי רק לאחר מכן תקום זכותן  לקבלת סעד זמני, וזאת מהטעמים הבאים:</w:t>
      </w:r>
    </w:p>
    <w:p w:rsidR="00072BE4" w:rsidRDefault="00072BE4" w:rsidP="00072BE4">
      <w:pPr>
        <w:spacing w:line="360" w:lineRule="auto"/>
        <w:jc w:val="both"/>
        <w:rPr>
          <w:rFonts w:ascii="David" w:hAnsi="David"/>
          <w:rtl/>
        </w:rPr>
      </w:pPr>
    </w:p>
    <w:p w:rsidR="00072BE4" w:rsidRDefault="00072BE4" w:rsidP="00072BE4">
      <w:pPr>
        <w:spacing w:line="360" w:lineRule="auto"/>
        <w:ind w:left="1977" w:hanging="651"/>
        <w:jc w:val="both"/>
        <w:rPr>
          <w:rFonts w:ascii="David" w:hAnsi="David"/>
          <w:rtl/>
        </w:rPr>
      </w:pPr>
      <w:r>
        <w:rPr>
          <w:rFonts w:ascii="David" w:hAnsi="David"/>
          <w:rtl/>
        </w:rPr>
        <w:t>12.7.1</w:t>
      </w:r>
      <w:r>
        <w:rPr>
          <w:rFonts w:ascii="David" w:hAnsi="David"/>
          <w:rtl/>
        </w:rPr>
        <w:tab/>
        <w:t xml:space="preserve">במסגרת בקשה לסעד זמני יש להראות זכות לכאורה, היינו כי סיכויי התביעה חוצים רף מינימלי אשר מתחת לו אין מקום לתת סעד זמני. רף זה אינו שקול להוכחה במאזן הסתברויות הנדרש בדרך כלל בהתדיינות אזרחית (רא' רע"א 9308/08 </w:t>
      </w:r>
      <w:r>
        <w:rPr>
          <w:rFonts w:ascii="David" w:hAnsi="David"/>
          <w:b/>
          <w:bCs/>
          <w:rtl/>
        </w:rPr>
        <w:t>אלול נ' רביב</w:t>
      </w:r>
      <w:r>
        <w:rPr>
          <w:rFonts w:ascii="David" w:hAnsi="David"/>
          <w:rtl/>
        </w:rPr>
        <w:t xml:space="preserve"> פורסם בנבו, 21/4/2009). די אם הוכח שהתביעה אינה טרדנית, וקיימת שאלה רצינית שיש לדון בה, ובשלב זה של בקשה לסעד זמני, אין צורך לפסוק באופן סופי בדבר צדקתו של מי מן הצדדים (רע"א 1379/16 </w:t>
      </w:r>
      <w:r>
        <w:rPr>
          <w:rFonts w:ascii="David" w:hAnsi="David"/>
          <w:b/>
          <w:bCs/>
          <w:rtl/>
        </w:rPr>
        <w:t xml:space="preserve">נופי נ' נופי, </w:t>
      </w:r>
      <w:r>
        <w:rPr>
          <w:rFonts w:ascii="David" w:hAnsi="David"/>
          <w:rtl/>
        </w:rPr>
        <w:t>פורסם בנבו, 3.4.2016).</w:t>
      </w:r>
    </w:p>
    <w:p w:rsidR="00072BE4" w:rsidRDefault="00072BE4" w:rsidP="00072BE4">
      <w:pPr>
        <w:spacing w:line="360" w:lineRule="auto"/>
        <w:ind w:left="1977" w:hanging="651"/>
        <w:jc w:val="both"/>
        <w:rPr>
          <w:rFonts w:ascii="David" w:hAnsi="David"/>
          <w:rtl/>
        </w:rPr>
      </w:pPr>
    </w:p>
    <w:p w:rsidR="00072BE4" w:rsidRDefault="00072BE4" w:rsidP="00072BE4">
      <w:pPr>
        <w:spacing w:line="360" w:lineRule="auto"/>
        <w:ind w:left="1977" w:hanging="651"/>
        <w:jc w:val="both"/>
        <w:rPr>
          <w:rFonts w:ascii="David" w:hAnsi="David"/>
          <w:rtl/>
        </w:rPr>
      </w:pPr>
      <w:r>
        <w:rPr>
          <w:rFonts w:ascii="David" w:hAnsi="David"/>
          <w:rtl/>
        </w:rPr>
        <w:t>12.7.2</w:t>
      </w:r>
      <w:r>
        <w:rPr>
          <w:rFonts w:ascii="David" w:hAnsi="David"/>
          <w:rtl/>
        </w:rPr>
        <w:tab/>
        <w:t>מהטענות שנטענו בכתבי טענותיהן של המבקשות ומהראיות שצרפו - ובכלל זאת צוואת המנוח, הסכם הממון עליו חתמו המבקשת 1 והמנוח ותדפיסי חשבון העו"ש של המנוח (נספח יא לכתב התביעה) - עולה כי קיימות ראיות לכאורה לקיומה של עילת תביעה ברף הנדרש לצורך מתן הסעד הזמני, עובדה שצוינה כאמור בסעיף 3 להחלטה מיום 16.11.2022. מובן כי טענות המבקשות מקומן להתברר במסגרת ההליך העקרי, אולם בשלב זה די בטענות העובדתיות שנטענו ובראיות שהוצגו לצורך מתן הסעד הזמני המבוקש.</w:t>
      </w:r>
    </w:p>
    <w:p w:rsidR="00072BE4" w:rsidRDefault="00072BE4" w:rsidP="00072BE4">
      <w:pPr>
        <w:spacing w:line="360" w:lineRule="auto"/>
        <w:ind w:left="1977" w:hanging="651"/>
        <w:jc w:val="both"/>
        <w:rPr>
          <w:rFonts w:ascii="David" w:hAnsi="David"/>
          <w:rtl/>
        </w:rPr>
      </w:pPr>
    </w:p>
    <w:p w:rsidR="00072BE4" w:rsidRDefault="00072BE4" w:rsidP="00072BE4">
      <w:pPr>
        <w:spacing w:line="360" w:lineRule="auto"/>
        <w:ind w:left="1977" w:hanging="651"/>
        <w:jc w:val="both"/>
        <w:rPr>
          <w:rFonts w:ascii="David" w:hAnsi="David"/>
          <w:rtl/>
        </w:rPr>
      </w:pPr>
      <w:r>
        <w:rPr>
          <w:rFonts w:ascii="David" w:hAnsi="David"/>
          <w:rtl/>
        </w:rPr>
        <w:t>12.7.3</w:t>
      </w:r>
      <w:r>
        <w:rPr>
          <w:rFonts w:ascii="David" w:hAnsi="David"/>
          <w:rtl/>
        </w:rPr>
        <w:tab/>
        <w:t xml:space="preserve">המשיבות לא פעלו בהתאם לאמור בסעיף 7 להחלטה מיום 16.11.2022 ולא טענו כי יש לבטל את צו העיקול שניתן. </w:t>
      </w:r>
    </w:p>
    <w:p w:rsidR="00072BE4" w:rsidRDefault="00072BE4" w:rsidP="00072BE4">
      <w:pPr>
        <w:spacing w:line="360" w:lineRule="auto"/>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12.8</w:t>
      </w:r>
      <w:r>
        <w:rPr>
          <w:rFonts w:ascii="David" w:hAnsi="David"/>
          <w:rtl/>
        </w:rPr>
        <w:tab/>
        <w:t>טענת המשיבות בכל הנוגע להוראות סעיף 81 לחוק בתי המשפט (נוסח משולב), תשמ"ד-1984 אינן רלוונטיות לענייננו, שהרי אין עסקינן בבקשה לתיקון טעות בפסק דין או החלטה אחרת, אלא בבקשה לעיון מחדש לאור גילוי עובדה חדשה שלא הייתה ידועה קודם לכן.</w:t>
      </w:r>
    </w:p>
    <w:p w:rsidR="00072BE4" w:rsidRDefault="00072BE4" w:rsidP="00072BE4">
      <w:pPr>
        <w:spacing w:line="360" w:lineRule="auto"/>
        <w:ind w:left="1269"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12.9</w:t>
      </w:r>
      <w:r>
        <w:rPr>
          <w:rFonts w:ascii="David" w:hAnsi="David"/>
          <w:rtl/>
        </w:rPr>
        <w:tab/>
        <w:t>איני מקבלת את טענת המשיבות כי דין הבקשה להידחות היות שיש בעיזבון די כספים על מנת לערוב לתביעת המבקשות, היות שהמשיבות לא תמכו את טענתן זו באסמכתאות ואף לא תמכו בתצהיר את תגובתן לבקשה לעיון מחדש.</w:t>
      </w:r>
    </w:p>
    <w:p w:rsidR="00072BE4" w:rsidRDefault="00072BE4" w:rsidP="00072BE4">
      <w:pPr>
        <w:spacing w:line="360" w:lineRule="auto"/>
        <w:ind w:left="1269"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12.10</w:t>
      </w:r>
      <w:r>
        <w:rPr>
          <w:rFonts w:ascii="David" w:hAnsi="David"/>
          <w:rtl/>
        </w:rPr>
        <w:tab/>
        <w:t xml:space="preserve">כמו כן, איני מקבלת את טענת המשיבות כי ככל שתתקבל בקשת המבקשות, התוצאה תהיה כפל עיקולים, שהרי העיקול שניתן על זכויות המנוח בחשבון הבנק לא תפס בהעדר כספים בחשבונו. </w:t>
      </w:r>
    </w:p>
    <w:p w:rsidR="00072BE4" w:rsidRDefault="00072BE4" w:rsidP="00072BE4">
      <w:pPr>
        <w:spacing w:line="360" w:lineRule="auto"/>
        <w:ind w:left="1269"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12.11</w:t>
      </w:r>
      <w:r>
        <w:rPr>
          <w:rFonts w:ascii="David" w:hAnsi="David"/>
          <w:rtl/>
        </w:rPr>
        <w:tab/>
        <w:t xml:space="preserve">המשיבות טוענות כי ייגרם להן נזק ככל שתתקבל הבקשה ויוטל עיקול על נכסי המקרקעין, אולם טענה זו נטענה בכלליות ומבלי שהמשיבות הצביעו על נזק ממשי וקונקרטי שעלול להיגרם להן. הפסיקה המשפטית קובעת כי טענה לנזקים יש לטעון בפירוט תוך הפנייה לנזקים ממשיים וקונקרטיים ולא די לטעון בעלמא כי הסעד הזמני גורם למשיב נזק (ע"א 4536/16 </w:t>
      </w:r>
      <w:r>
        <w:rPr>
          <w:rFonts w:ascii="David" w:hAnsi="David"/>
          <w:b/>
          <w:bCs/>
          <w:rtl/>
        </w:rPr>
        <w:t>פלונית נ' פלוני</w:t>
      </w:r>
      <w:r>
        <w:rPr>
          <w:rFonts w:ascii="David" w:hAnsi="David"/>
          <w:rtl/>
        </w:rPr>
        <w:t xml:space="preserve"> [פורסם בנבו] (27.7.2017)).</w:t>
      </w:r>
    </w:p>
    <w:p w:rsidR="00072BE4" w:rsidRDefault="00072BE4" w:rsidP="00072BE4">
      <w:pPr>
        <w:spacing w:line="360" w:lineRule="auto"/>
        <w:ind w:left="1269" w:hanging="651"/>
        <w:jc w:val="both"/>
        <w:rPr>
          <w:rFonts w:ascii="David" w:hAnsi="David"/>
          <w:rtl/>
        </w:rPr>
      </w:pPr>
    </w:p>
    <w:p w:rsidR="00072BE4" w:rsidRDefault="00072BE4" w:rsidP="00307EEE">
      <w:pPr>
        <w:spacing w:line="360" w:lineRule="auto"/>
        <w:ind w:left="1269" w:hanging="651"/>
        <w:jc w:val="both"/>
        <w:rPr>
          <w:rFonts w:ascii="David" w:hAnsi="David"/>
          <w:rtl/>
        </w:rPr>
      </w:pPr>
      <w:r>
        <w:rPr>
          <w:rFonts w:ascii="David" w:hAnsi="David"/>
          <w:rtl/>
        </w:rPr>
        <w:t>12.12</w:t>
      </w:r>
      <w:r>
        <w:rPr>
          <w:rFonts w:ascii="David" w:hAnsi="David"/>
          <w:rtl/>
        </w:rPr>
        <w:tab/>
        <w:t>משעה שהמנוח ציווה לכל אחת מהמשיבות נכס מקרקעין אחר מתוך ארבעת נכסי המקרקעין שלגביה</w:t>
      </w:r>
      <w:r w:rsidR="00307EEE">
        <w:rPr>
          <w:rFonts w:ascii="David" w:hAnsi="David" w:hint="cs"/>
          <w:rtl/>
        </w:rPr>
        <w:t>ם</w:t>
      </w:r>
      <w:r>
        <w:rPr>
          <w:rFonts w:ascii="David" w:hAnsi="David"/>
          <w:rtl/>
        </w:rPr>
        <w:t xml:space="preserve"> התבקש צו העיקול ובשים לב לכך שתביעת המבקשות מופנית כלפי ארבעת המשיבות והיות שבשלב זה לא ברור בידי מי מוחזקים הכספים שנמשכו מחשבון המנוח, אין מנוס מהטלת העיקול על ארבעת הנכסים שפורטו בבקשה, תוך הגבלת סכום העיקול על כ</w:t>
      </w:r>
      <w:r w:rsidR="004843FA">
        <w:rPr>
          <w:rFonts w:ascii="David" w:hAnsi="David" w:hint="cs"/>
          <w:rtl/>
        </w:rPr>
        <w:t>ל</w:t>
      </w:r>
      <w:r>
        <w:rPr>
          <w:rFonts w:ascii="David" w:hAnsi="David"/>
          <w:rtl/>
        </w:rPr>
        <w:t xml:space="preserve"> נכס לסך של 753,479 ₪.</w:t>
      </w:r>
    </w:p>
    <w:p w:rsidR="00072BE4" w:rsidRDefault="00072BE4" w:rsidP="00072BE4">
      <w:pPr>
        <w:spacing w:line="360" w:lineRule="auto"/>
        <w:jc w:val="both"/>
        <w:rPr>
          <w:rFonts w:ascii="David" w:hAnsi="David"/>
          <w:rtl/>
        </w:rPr>
      </w:pPr>
    </w:p>
    <w:p w:rsidR="00072BE4" w:rsidRDefault="00072BE4" w:rsidP="00307EEE">
      <w:pPr>
        <w:spacing w:line="360" w:lineRule="auto"/>
        <w:ind w:left="1269" w:hanging="651"/>
        <w:jc w:val="both"/>
        <w:rPr>
          <w:rFonts w:ascii="David" w:hAnsi="David"/>
          <w:rtl/>
        </w:rPr>
      </w:pPr>
      <w:r>
        <w:rPr>
          <w:rFonts w:ascii="David" w:hAnsi="David"/>
          <w:rtl/>
        </w:rPr>
        <w:t>12.13</w:t>
      </w:r>
      <w:r>
        <w:rPr>
          <w:rFonts w:ascii="David" w:hAnsi="David"/>
          <w:rtl/>
        </w:rPr>
        <w:tab/>
        <w:t xml:space="preserve">אשר על כן, הבקשה לעיון מחדש והמרת העיקול לנכסי המקרקעין מתקבלת. המזכירות תבטל את צו העיקול על זכויות המנוח בחשבון בבנק </w:t>
      </w:r>
      <w:r w:rsidR="00307EEE">
        <w:rPr>
          <w:rFonts w:ascii="David" w:hAnsi="David" w:hint="cs"/>
        </w:rPr>
        <w:t>X</w:t>
      </w:r>
      <w:r>
        <w:rPr>
          <w:rFonts w:ascii="David" w:hAnsi="David"/>
          <w:rtl/>
        </w:rPr>
        <w:t xml:space="preserve"> ותפיק במקומו צו עיקול על</w:t>
      </w:r>
      <w:r w:rsidR="00DF658C">
        <w:rPr>
          <w:rFonts w:ascii="David" w:hAnsi="David" w:hint="cs"/>
          <w:rtl/>
        </w:rPr>
        <w:t xml:space="preserve"> הזכויות הרשומות על שם המנוח ב</w:t>
      </w:r>
      <w:r>
        <w:rPr>
          <w:rFonts w:ascii="David" w:hAnsi="David"/>
          <w:rtl/>
        </w:rPr>
        <w:t>ארבעת נכסי המקרקעין</w:t>
      </w:r>
      <w:r w:rsidR="001A3383">
        <w:rPr>
          <w:rFonts w:ascii="David" w:hAnsi="David" w:hint="cs"/>
          <w:rtl/>
        </w:rPr>
        <w:t xml:space="preserve"> האמורים בבקשה מיום 19.1.2023</w:t>
      </w:r>
      <w:r>
        <w:rPr>
          <w:rFonts w:ascii="David" w:hAnsi="David"/>
          <w:rtl/>
        </w:rPr>
        <w:t>, תוך הגבלת סכום העיקול על כל נכס לסך של 753,479 ₪.</w:t>
      </w:r>
    </w:p>
    <w:p w:rsidR="00072BE4" w:rsidRDefault="00072BE4" w:rsidP="00072BE4">
      <w:pPr>
        <w:spacing w:line="360" w:lineRule="auto"/>
        <w:ind w:left="1269"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12.14</w:t>
      </w:r>
      <w:r>
        <w:rPr>
          <w:rFonts w:ascii="David" w:hAnsi="David"/>
          <w:rtl/>
        </w:rPr>
        <w:tab/>
        <w:t xml:space="preserve">באשר לבקשה להשבת הערבות צד ג' והערבון הכספי – כפי שנקבע בפסיקה, </w:t>
      </w:r>
      <w:r>
        <w:rPr>
          <w:rFonts w:ascii="David" w:hAnsi="David"/>
          <w:b/>
          <w:bCs/>
          <w:spacing w:val="10"/>
          <w:rtl/>
        </w:rPr>
        <w:t>"תכלית הערובה שתיקבע כתנאי סף למתן הסעד הזמני, לשמש כמקור לפיצוי המשיבים בגין הנזק שייגרם להם עקב מתן הסעד הזמני, ולפיכך על תנאיה לעמוד בקשר ישיר עם אופי הנזק כאמור"</w:t>
      </w:r>
      <w:r>
        <w:rPr>
          <w:rFonts w:ascii="David" w:hAnsi="David"/>
          <w:spacing w:val="10"/>
          <w:rtl/>
        </w:rPr>
        <w:t xml:space="preserve"> (</w:t>
      </w:r>
      <w:r>
        <w:rPr>
          <w:rFonts w:ascii="David" w:hAnsi="David"/>
          <w:rtl/>
        </w:rPr>
        <w:t xml:space="preserve">רא' פסק דינו של כב' השופט חאלד כבוב בתיק רעא 2900/22  </w:t>
      </w:r>
      <w:r>
        <w:rPr>
          <w:rFonts w:ascii="David" w:hAnsi="David"/>
          <w:b/>
          <w:bCs/>
          <w:rtl/>
        </w:rPr>
        <w:t>תאופיק חביב אללה נ' יורופן גי אר בע"מ</w:t>
      </w:r>
      <w:r>
        <w:rPr>
          <w:rFonts w:ascii="David" w:hAnsi="David"/>
          <w:rtl/>
        </w:rPr>
        <w:t xml:space="preserve">, פורסם בנבו (31.7.2022)). לפיכך ובשים לב למאזן הנזקים, לא מצאתי להעתר לבקשת המבקשות להשבת הבטוחות הנ"ל. </w:t>
      </w:r>
    </w:p>
    <w:p w:rsidR="00072BE4" w:rsidRDefault="00072BE4" w:rsidP="00072BE4">
      <w:pPr>
        <w:spacing w:line="360" w:lineRule="auto"/>
        <w:ind w:left="1269" w:hanging="651"/>
        <w:jc w:val="both"/>
        <w:rPr>
          <w:rFonts w:ascii="David" w:hAnsi="David"/>
          <w:rtl/>
        </w:rPr>
      </w:pPr>
    </w:p>
    <w:p w:rsidR="00072BE4" w:rsidRDefault="00072BE4" w:rsidP="0048690F">
      <w:pPr>
        <w:spacing w:line="360" w:lineRule="auto"/>
        <w:ind w:left="1269" w:hanging="651"/>
        <w:jc w:val="both"/>
        <w:rPr>
          <w:rFonts w:ascii="David" w:hAnsi="David"/>
          <w:rtl/>
        </w:rPr>
      </w:pPr>
      <w:r>
        <w:rPr>
          <w:rFonts w:ascii="David" w:hAnsi="David"/>
          <w:rtl/>
        </w:rPr>
        <w:t>12.15</w:t>
      </w:r>
      <w:r>
        <w:rPr>
          <w:rFonts w:ascii="David" w:hAnsi="David"/>
          <w:rtl/>
        </w:rPr>
        <w:tab/>
        <w:t>מובהר כי הבטוחות שהוגשו לצורך הבטחת צו העיקול על זכויות המנוח בחשבון הבנק  תשמשנה כבטוחות לצורך צו העיקול על נכסי המקרקעין.</w:t>
      </w:r>
    </w:p>
    <w:p w:rsidR="00072BE4" w:rsidRDefault="00072BE4" w:rsidP="00072BE4">
      <w:pPr>
        <w:spacing w:line="360" w:lineRule="auto"/>
        <w:ind w:left="1269" w:hanging="651"/>
        <w:jc w:val="both"/>
        <w:rPr>
          <w:rFonts w:ascii="David" w:hAnsi="David"/>
          <w:rtl/>
        </w:rPr>
      </w:pPr>
    </w:p>
    <w:p w:rsidR="00072BE4" w:rsidRDefault="00072BE4" w:rsidP="00072BE4">
      <w:pPr>
        <w:spacing w:line="360" w:lineRule="auto"/>
        <w:ind w:left="1269" w:hanging="651"/>
        <w:jc w:val="both"/>
        <w:rPr>
          <w:rFonts w:ascii="David" w:hAnsi="David"/>
          <w:rtl/>
        </w:rPr>
      </w:pPr>
      <w:r>
        <w:rPr>
          <w:rFonts w:ascii="David" w:hAnsi="David"/>
          <w:rtl/>
        </w:rPr>
        <w:t>12.16</w:t>
      </w:r>
      <w:r>
        <w:rPr>
          <w:rFonts w:ascii="David" w:hAnsi="David"/>
          <w:rtl/>
        </w:rPr>
        <w:tab/>
        <w:t>לאור התוצאה אליה הגעתי, אין צו להוצאות.</w:t>
      </w:r>
    </w:p>
    <w:p w:rsidR="00072BE4" w:rsidRDefault="00072BE4" w:rsidP="00072BE4">
      <w:pPr>
        <w:spacing w:line="360" w:lineRule="auto"/>
        <w:ind w:left="1269" w:hanging="651"/>
        <w:jc w:val="both"/>
        <w:rPr>
          <w:rFonts w:ascii="David" w:hAnsi="David"/>
          <w:rtl/>
        </w:rPr>
      </w:pPr>
    </w:p>
    <w:p w:rsidR="00072BE4" w:rsidRDefault="00072BE4" w:rsidP="00834975">
      <w:pPr>
        <w:spacing w:line="360" w:lineRule="auto"/>
        <w:ind w:left="1269" w:hanging="651"/>
        <w:jc w:val="both"/>
        <w:rPr>
          <w:rFonts w:ascii="David" w:hAnsi="David"/>
          <w:rtl/>
        </w:rPr>
      </w:pPr>
      <w:r>
        <w:rPr>
          <w:rFonts w:ascii="David" w:hAnsi="David"/>
          <w:rtl/>
        </w:rPr>
        <w:lastRenderedPageBreak/>
        <w:t>1</w:t>
      </w:r>
      <w:r w:rsidR="00834975">
        <w:rPr>
          <w:rFonts w:ascii="David" w:hAnsi="David" w:hint="cs"/>
          <w:rtl/>
        </w:rPr>
        <w:t>2</w:t>
      </w:r>
      <w:r>
        <w:rPr>
          <w:rFonts w:ascii="David" w:hAnsi="David"/>
          <w:rtl/>
        </w:rPr>
        <w:t>.17</w:t>
      </w:r>
      <w:r>
        <w:rPr>
          <w:rFonts w:ascii="David" w:hAnsi="David"/>
          <w:rtl/>
        </w:rPr>
        <w:tab/>
        <w:t>המזכירות תשלח העתק החלטה זו לצדדים.</w:t>
      </w:r>
    </w:p>
    <w:p w:rsidR="00072BE4" w:rsidRDefault="00072BE4">
      <w:pPr>
        <w:spacing w:line="360" w:lineRule="auto"/>
        <w:jc w:val="both"/>
        <w:rPr>
          <w:rFonts w:ascii="Arial" w:hAnsi="Arial"/>
          <w:noProof w:val="0"/>
          <w:rtl/>
        </w:rPr>
      </w:pPr>
    </w:p>
    <w:p w:rsidR="002914D6" w:rsidRDefault="00011212" w:rsidP="00072BE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כ"ט ניסן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20 אפריל 2023</w:t>
          </w:r>
        </w:sdtContent>
      </w:sdt>
      <w:r>
        <w:rPr>
          <w:rFonts w:ascii="Arial" w:hAnsi="Arial"/>
          <w:noProof w:val="0"/>
          <w:rtl/>
        </w:rPr>
        <w:t>, בהעדר הצדדים.</w:t>
      </w:r>
    </w:p>
    <w:p w:rsidR="002914D6" w:rsidRDefault="00187538" w:rsidP="00607FAB">
      <w:pPr>
        <w:spacing w:line="360" w:lineRule="auto"/>
        <w:ind w:left="3600" w:firstLine="720"/>
        <w:jc w:val="both"/>
      </w:pPr>
      <w:sdt>
        <w:sdtPr>
          <w:rPr>
            <w:rtl/>
          </w:rPr>
          <w:alias w:val="MergeField"/>
          <w:tag w:val="1237"/>
          <w:id w:val="1607919196"/>
        </w:sdtPr>
        <w:sdtEndPr/>
        <w:sdtContent>
          <w:r w:rsidR="00BB4574">
            <w:drawing>
              <wp:inline distT="0" distB="0" distL="0" distR="0" wp14:editId="50D07946">
                <wp:extent cx="1457325"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457325" cy="1181100"/>
                        </a:xfrm>
                        <a:prstGeom prst="rect">
                          <a:avLst/>
                        </a:prstGeom>
                      </pic:spPr>
                    </pic:pic>
                  </a:graphicData>
                </a:graphic>
              </wp:inline>
            </w:drawing>
          </w:r>
        </w:sdtContent>
      </w:sdt>
    </w:p>
    <w:p w:rsidR="00880038" w:rsidRDefault="00880038" w:rsidP="00607FAB">
      <w:pPr>
        <w:spacing w:line="360" w:lineRule="auto"/>
        <w:ind w:left="3600" w:firstLine="720"/>
        <w:jc w:val="both"/>
        <w:rPr>
          <w:rFonts w:ascii="Arial" w:hAnsi="Arial"/>
          <w:noProof w:val="0"/>
          <w:rtl/>
        </w:rPr>
      </w:pPr>
    </w:p>
    <w:p w:rsidR="00880038" w:rsidRPr="00880038" w:rsidRDefault="00880038" w:rsidP="00880038">
      <w:pPr>
        <w:rPr>
          <w:rFonts w:ascii="Arial" w:hAnsi="Arial"/>
          <w:rtl/>
        </w:rPr>
      </w:pPr>
    </w:p>
    <w:p w:rsidR="002914D6" w:rsidRPr="00880038" w:rsidRDefault="00880038" w:rsidP="00891841">
      <w:pPr>
        <w:spacing w:line="360" w:lineRule="auto"/>
        <w:jc w:val="both"/>
        <w:rPr>
          <w:rFonts w:ascii="Arial" w:hAnsi="Arial"/>
          <w:rtl/>
        </w:rPr>
      </w:pPr>
      <w:r>
        <w:rPr>
          <w:rFonts w:ascii="Arial" w:hAnsi="Arial" w:hint="cs"/>
          <w:rtl/>
        </w:rPr>
        <w:t>***</w:t>
      </w:r>
      <w:r>
        <w:rPr>
          <w:rFonts w:ascii="Arial" w:hAnsi="Arial" w:hint="cs"/>
        </w:rPr>
        <w:t xml:space="preserve"> </w:t>
      </w:r>
      <w:r w:rsidRPr="00880038">
        <w:rPr>
          <w:rFonts w:ascii="Arial" w:hAnsi="Arial" w:hint="cs"/>
          <w:b/>
          <w:bCs/>
          <w:rtl/>
        </w:rPr>
        <w:t>הערה</w:t>
      </w:r>
      <w:r>
        <w:rPr>
          <w:rFonts w:ascii="Arial" w:hAnsi="Arial" w:hint="cs"/>
          <w:rtl/>
        </w:rPr>
        <w:t xml:space="preserve"> </w:t>
      </w:r>
      <w:r>
        <w:rPr>
          <w:rFonts w:ascii="Arial" w:hAnsi="Arial"/>
          <w:rtl/>
        </w:rPr>
        <w:t>–</w:t>
      </w:r>
      <w:r>
        <w:rPr>
          <w:rFonts w:ascii="Arial" w:hAnsi="Arial" w:hint="cs"/>
          <w:rtl/>
        </w:rPr>
        <w:t xml:space="preserve"> החלטה זו הותרה לפרסום, תוך השמטת שמות ופרטים מזהים, בהתאם לאמור בהחלטה שניתנה ביום </w:t>
      </w:r>
      <w:r w:rsidR="00891841">
        <w:rPr>
          <w:rFonts w:ascii="Arial" w:hAnsi="Arial" w:hint="cs"/>
          <w:rtl/>
        </w:rPr>
        <w:t>3.5.2023.</w:t>
      </w:r>
    </w:p>
    <w:sectPr w:rsidR="002914D6" w:rsidRPr="00880038"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510" w:rsidRDefault="00FE5510">
      <w:r>
        <w:separator/>
      </w:r>
    </w:p>
  </w:endnote>
  <w:endnote w:type="continuationSeparator" w:id="0">
    <w:p w:rsidR="00FE5510" w:rsidRDefault="00FE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87538">
      <w:rPr>
        <w:rStyle w:val="ab"/>
        <w:rtl/>
      </w:rPr>
      <w:t>7</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87538">
      <w:rPr>
        <w:rStyle w:val="ab"/>
        <w:rtl/>
      </w:rPr>
      <w:t>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510" w:rsidRDefault="00FE5510">
      <w:r>
        <w:separator/>
      </w:r>
    </w:p>
  </w:footnote>
  <w:footnote w:type="continuationSeparator" w:id="0">
    <w:p w:rsidR="00FE5510" w:rsidRDefault="00FE5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rsidTr="00307EEE">
      <w:trPr>
        <w:trHeight w:val="337"/>
        <w:jc w:val="center"/>
      </w:trPr>
      <w:tc>
        <w:tcPr>
          <w:tcW w:w="8721" w:type="dxa"/>
          <w:gridSpan w:val="2"/>
          <w:shd w:val="clear" w:color="auto" w:fill="auto"/>
        </w:tcPr>
        <w:p w:rsidR="002914D6" w:rsidRDefault="00094813" w:rsidP="00307EEE">
          <w:pPr>
            <w:rPr>
              <w:b/>
              <w:bCs/>
              <w:noProof w:val="0"/>
              <w:sz w:val="26"/>
              <w:szCs w:val="26"/>
              <w:rtl/>
            </w:rPr>
          </w:pPr>
          <w:r>
            <w:rPr>
              <w:b/>
              <w:bCs/>
              <w:noProof w:val="0"/>
              <w:sz w:val="26"/>
              <w:szCs w:val="26"/>
              <w:rtl/>
            </w:rPr>
            <w:t>ת"ע</w:t>
          </w:r>
          <w:r w:rsidR="00011212">
            <w:rPr>
              <w:b/>
              <w:bCs/>
              <w:noProof w:val="0"/>
              <w:sz w:val="26"/>
              <w:szCs w:val="26"/>
              <w:rtl/>
            </w:rPr>
            <w:t xml:space="preserve"> </w:t>
          </w:r>
          <w:r>
            <w:rPr>
              <w:b/>
              <w:bCs/>
              <w:noProof w:val="0"/>
              <w:sz w:val="26"/>
              <w:szCs w:val="26"/>
              <w:rtl/>
            </w:rPr>
            <w:t>21447-10-22</w:t>
          </w:r>
          <w:r w:rsidR="00011212">
            <w:rPr>
              <w:b/>
              <w:bCs/>
              <w:noProof w:val="0"/>
              <w:sz w:val="26"/>
              <w:szCs w:val="26"/>
              <w:rtl/>
            </w:rPr>
            <w:t xml:space="preserve"> </w:t>
          </w:r>
          <w:r w:rsidR="00307EEE">
            <w:rPr>
              <w:rFonts w:hint="cs"/>
              <w:b/>
              <w:bCs/>
              <w:noProof w:val="0"/>
              <w:sz w:val="26"/>
              <w:szCs w:val="26"/>
              <w:rtl/>
            </w:rPr>
            <w:t xml:space="preserve">ר. </w:t>
          </w:r>
          <w:r w:rsidR="00307EEE">
            <w:rPr>
              <w:b/>
              <w:bCs/>
              <w:noProof w:val="0"/>
              <w:sz w:val="26"/>
              <w:szCs w:val="26"/>
              <w:rtl/>
            </w:rPr>
            <w:t>ל</w:t>
          </w:r>
          <w:r w:rsidR="00307EEE">
            <w:rPr>
              <w:rFonts w:hint="cs"/>
              <w:b/>
              <w:bCs/>
              <w:noProof w:val="0"/>
              <w:sz w:val="26"/>
              <w:szCs w:val="26"/>
              <w:rtl/>
            </w:rPr>
            <w:t xml:space="preserve">. ח. </w:t>
          </w:r>
          <w:r>
            <w:rPr>
              <w:b/>
              <w:bCs/>
              <w:noProof w:val="0"/>
              <w:sz w:val="26"/>
              <w:szCs w:val="26"/>
              <w:rtl/>
            </w:rPr>
            <w:t xml:space="preserve">ואח' נ' </w:t>
          </w:r>
          <w:r w:rsidR="00307EEE">
            <w:rPr>
              <w:rFonts w:hint="cs"/>
              <w:b/>
              <w:bCs/>
              <w:noProof w:val="0"/>
              <w:sz w:val="26"/>
              <w:szCs w:val="26"/>
              <w:rtl/>
            </w:rPr>
            <w:t xml:space="preserve">ר. </w:t>
          </w:r>
          <w:r>
            <w:rPr>
              <w:b/>
              <w:bCs/>
              <w:noProof w:val="0"/>
              <w:sz w:val="26"/>
              <w:szCs w:val="26"/>
              <w:rtl/>
            </w:rPr>
            <w:t>ב</w:t>
          </w:r>
          <w:r w:rsidR="00307EEE">
            <w:rPr>
              <w:rFonts w:hint="cs"/>
              <w:b/>
              <w:bCs/>
              <w:noProof w:val="0"/>
              <w:sz w:val="26"/>
              <w:szCs w:val="26"/>
              <w:rtl/>
            </w:rPr>
            <w:t>.</w:t>
          </w:r>
          <w:r>
            <w:rPr>
              <w:b/>
              <w:bCs/>
              <w:noProof w:val="0"/>
              <w:sz w:val="26"/>
              <w:szCs w:val="26"/>
              <w:rtl/>
            </w:rPr>
            <w:t xml:space="preserve"> ואח'</w:t>
          </w:r>
        </w:p>
        <w:p w:rsidR="002914D6" w:rsidRDefault="002914D6">
          <w:pPr>
            <w:rPr>
              <w:rtl/>
            </w:rPr>
          </w:pPr>
        </w:p>
      </w:tc>
    </w:tr>
  </w:tbl>
  <w:p w:rsidR="002914D6" w:rsidRDefault="00011212">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1601"/>
    <w:rsid w:val="00072BE4"/>
    <w:rsid w:val="00094813"/>
    <w:rsid w:val="000A3CC8"/>
    <w:rsid w:val="0014058F"/>
    <w:rsid w:val="00187538"/>
    <w:rsid w:val="001A3383"/>
    <w:rsid w:val="001E0EB7"/>
    <w:rsid w:val="00242BA8"/>
    <w:rsid w:val="002914D6"/>
    <w:rsid w:val="002D5BC0"/>
    <w:rsid w:val="002F5307"/>
    <w:rsid w:val="00307EEE"/>
    <w:rsid w:val="003471ED"/>
    <w:rsid w:val="00380A40"/>
    <w:rsid w:val="003C2B44"/>
    <w:rsid w:val="003C669B"/>
    <w:rsid w:val="00430C39"/>
    <w:rsid w:val="00470867"/>
    <w:rsid w:val="004843FA"/>
    <w:rsid w:val="0048690F"/>
    <w:rsid w:val="00503A57"/>
    <w:rsid w:val="00530E94"/>
    <w:rsid w:val="005734F6"/>
    <w:rsid w:val="00607FAB"/>
    <w:rsid w:val="006E3E40"/>
    <w:rsid w:val="00822AA5"/>
    <w:rsid w:val="00834975"/>
    <w:rsid w:val="00880038"/>
    <w:rsid w:val="00891841"/>
    <w:rsid w:val="00946045"/>
    <w:rsid w:val="009A7E27"/>
    <w:rsid w:val="00A54660"/>
    <w:rsid w:val="00A7661B"/>
    <w:rsid w:val="00A826E2"/>
    <w:rsid w:val="00B31305"/>
    <w:rsid w:val="00B42098"/>
    <w:rsid w:val="00BB4574"/>
    <w:rsid w:val="00C226D6"/>
    <w:rsid w:val="00CE7F78"/>
    <w:rsid w:val="00DF1908"/>
    <w:rsid w:val="00DF658C"/>
    <w:rsid w:val="00EC08AF"/>
    <w:rsid w:val="00EC44A6"/>
    <w:rsid w:val="00F045AE"/>
    <w:rsid w:val="00F50E07"/>
    <w:rsid w:val="00FE551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3202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1739</Words>
  <Characters>8695</Characters>
  <Application>Microsoft Office Word</Application>
  <DocSecurity>4</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2023-05-03T04:46:00Z</cp:lastPrinted>
  <dcterms:created xsi:type="dcterms:W3CDTF">2023-06-25T12:27:00Z</dcterms:created>
  <dcterms:modified xsi:type="dcterms:W3CDTF">2023-06-25T12:27:00Z</dcterms:modified>
</cp:coreProperties>
</file>